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173" w:rsidRDefault="00C86173">
      <w:pPr>
        <w:spacing w:line="600" w:lineRule="exact"/>
        <w:jc w:val="left"/>
        <w:outlineLvl w:val="0"/>
        <w:rPr>
          <w:rFonts w:ascii="方正小标宋简体" w:eastAsia="方正小标宋简体" w:hAnsi="宋体"/>
          <w:szCs w:val="21"/>
        </w:rPr>
      </w:pPr>
      <w:bookmarkStart w:id="0" w:name="_Toc15306267"/>
    </w:p>
    <w:p w:rsidR="00C86173" w:rsidRDefault="00C86173">
      <w:pPr>
        <w:spacing w:line="600" w:lineRule="exact"/>
        <w:jc w:val="center"/>
        <w:outlineLvl w:val="0"/>
        <w:rPr>
          <w:rFonts w:ascii="方正小标宋简体" w:eastAsia="方正小标宋简体" w:hAnsi="宋体"/>
          <w:sz w:val="72"/>
          <w:szCs w:val="72"/>
        </w:rPr>
      </w:pPr>
    </w:p>
    <w:p w:rsidR="00C86173" w:rsidRDefault="00C86173">
      <w:pPr>
        <w:spacing w:line="600" w:lineRule="exact"/>
        <w:jc w:val="center"/>
        <w:outlineLvl w:val="0"/>
        <w:rPr>
          <w:rFonts w:ascii="方正小标宋简体" w:eastAsia="方正小标宋简体" w:hAnsi="宋体"/>
          <w:sz w:val="72"/>
          <w:szCs w:val="72"/>
        </w:rPr>
      </w:pPr>
    </w:p>
    <w:p w:rsidR="00C86173" w:rsidRDefault="00CC65C4">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96597"/>
      <w:bookmarkStart w:id="2" w:name="_Toc15377425"/>
      <w:bookmarkStart w:id="3" w:name="_Toc15396475"/>
      <w:bookmarkStart w:id="4" w:name="_Toc15377193"/>
      <w:bookmarkStart w:id="5" w:name="_Toc15378441"/>
      <w:bookmarkStart w:id="6" w:name="_Toc145324356"/>
      <w:r>
        <w:rPr>
          <w:rFonts w:ascii="方正小标宋简体" w:eastAsia="方正小标宋简体" w:hAnsi="方正小标宋简体" w:cs="方正小标宋简体" w:hint="eastAsia"/>
          <w:sz w:val="72"/>
          <w:szCs w:val="72"/>
        </w:rPr>
        <w:t>2022</w:t>
      </w:r>
      <w:r>
        <w:rPr>
          <w:rFonts w:ascii="方正小标宋简体" w:eastAsia="方正小标宋简体" w:hAnsi="方正小标宋简体" w:cs="方正小标宋简体" w:hint="eastAsia"/>
          <w:sz w:val="72"/>
          <w:szCs w:val="72"/>
        </w:rPr>
        <w:t>年度</w:t>
      </w:r>
      <w:bookmarkEnd w:id="1"/>
      <w:bookmarkEnd w:id="2"/>
      <w:bookmarkEnd w:id="3"/>
      <w:bookmarkEnd w:id="4"/>
      <w:bookmarkEnd w:id="5"/>
      <w:bookmarkEnd w:id="6"/>
    </w:p>
    <w:p w:rsidR="00C86173" w:rsidRDefault="00CC65C4">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7" w:name="_Toc145324357"/>
      <w:bookmarkStart w:id="8" w:name="_Toc15396598"/>
      <w:bookmarkStart w:id="9" w:name="_Toc15377426"/>
      <w:bookmarkStart w:id="10" w:name="_Toc15396476"/>
      <w:bookmarkStart w:id="11" w:name="_Toc15377194"/>
      <w:bookmarkStart w:id="12" w:name="_Toc15378442"/>
      <w:r>
        <w:rPr>
          <w:rFonts w:ascii="方正小标宋简体" w:eastAsia="方正小标宋简体" w:hAnsi="方正小标宋简体" w:cs="方正小标宋简体" w:hint="eastAsia"/>
          <w:sz w:val="72"/>
          <w:szCs w:val="72"/>
        </w:rPr>
        <w:t>广元市</w:t>
      </w:r>
      <w:bookmarkStart w:id="13" w:name="_Toc15306268"/>
      <w:bookmarkEnd w:id="0"/>
      <w:r>
        <w:rPr>
          <w:rFonts w:ascii="方正小标宋简体" w:eastAsia="方正小标宋简体" w:hAnsi="方正小标宋简体" w:cs="方正小标宋简体" w:hint="eastAsia"/>
          <w:sz w:val="72"/>
          <w:szCs w:val="72"/>
        </w:rPr>
        <w:t>教育科学研究所</w:t>
      </w:r>
      <w:bookmarkEnd w:id="7"/>
    </w:p>
    <w:p w:rsidR="00C86173" w:rsidRDefault="00CC65C4">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4" w:name="_Toc145324358"/>
      <w:r>
        <w:rPr>
          <w:rFonts w:ascii="方正小标宋简体" w:eastAsia="方正小标宋简体" w:hAnsi="方正小标宋简体" w:cs="方正小标宋简体" w:hint="eastAsia"/>
          <w:sz w:val="72"/>
          <w:szCs w:val="72"/>
        </w:rPr>
        <w:t>单位决算</w:t>
      </w:r>
      <w:bookmarkEnd w:id="8"/>
      <w:bookmarkEnd w:id="9"/>
      <w:bookmarkEnd w:id="10"/>
      <w:bookmarkEnd w:id="11"/>
      <w:bookmarkEnd w:id="12"/>
      <w:bookmarkEnd w:id="13"/>
      <w:bookmarkEnd w:id="14"/>
    </w:p>
    <w:p w:rsidR="00C86173" w:rsidRDefault="00CC65C4">
      <w:pPr>
        <w:widowControl/>
        <w:jc w:val="center"/>
        <w:rPr>
          <w:rFonts w:ascii="黑体" w:eastAsia="黑体" w:hAnsi="黑体"/>
          <w:sz w:val="48"/>
          <w:szCs w:val="48"/>
        </w:rPr>
      </w:pPr>
      <w:r>
        <w:rPr>
          <w:rFonts w:ascii="方正小标宋简体" w:eastAsia="方正小标宋简体" w:hAnsi="宋体"/>
          <w:sz w:val="36"/>
          <w:szCs w:val="36"/>
        </w:rPr>
        <w:br w:type="page"/>
      </w:r>
    </w:p>
    <w:bookmarkStart w:id="15" w:name="_GoBack" w:displacedByCustomXml="next"/>
    <w:bookmarkEnd w:id="15" w:displacedByCustomXml="next"/>
    <w:sdt>
      <w:sdtPr>
        <w:rPr>
          <w:rFonts w:ascii="Times New Roman" w:eastAsia="宋体" w:hAnsi="Times New Roman" w:cs="Times New Roman"/>
          <w:b w:val="0"/>
          <w:bCs w:val="0"/>
          <w:color w:val="auto"/>
          <w:kern w:val="2"/>
          <w:sz w:val="21"/>
          <w:szCs w:val="24"/>
          <w:lang w:val="zh-CN"/>
        </w:rPr>
        <w:id w:val="9957763"/>
        <w:docPartObj>
          <w:docPartGallery w:val="Table of Contents"/>
          <w:docPartUnique/>
        </w:docPartObj>
      </w:sdtPr>
      <w:sdtEndPr>
        <w:rPr>
          <w:lang w:val="en-US"/>
        </w:rPr>
      </w:sdtEndPr>
      <w:sdtContent>
        <w:p w:rsidR="00C86173" w:rsidRDefault="00CC65C4">
          <w:pPr>
            <w:pStyle w:val="TOC3"/>
            <w:jc w:val="center"/>
            <w:rPr>
              <w:color w:val="auto"/>
            </w:rPr>
          </w:pPr>
          <w:r>
            <w:rPr>
              <w:rFonts w:ascii="黑体" w:eastAsia="黑体" w:hAnsi="黑体"/>
              <w:color w:val="auto"/>
              <w:sz w:val="48"/>
              <w:szCs w:val="48"/>
              <w:lang w:val="zh-CN"/>
            </w:rPr>
            <w:t>目录</w:t>
          </w:r>
        </w:p>
        <w:p w:rsidR="00C86173" w:rsidRDefault="00CC65C4">
          <w:pPr>
            <w:pStyle w:val="10"/>
            <w:rPr>
              <w:rFonts w:ascii="仿宋_GB2312" w:eastAsia="仿宋_GB2312" w:hAnsiTheme="minorHAnsi" w:cstheme="minorBidi"/>
            </w:rPr>
          </w:pPr>
          <w:r>
            <w:rPr>
              <w:rFonts w:hint="eastAsia"/>
            </w:rPr>
            <w:t>公开时间：</w:t>
          </w:r>
          <w:r>
            <w:rPr>
              <w:rFonts w:hint="eastAsia"/>
            </w:rPr>
            <w:t>2023</w:t>
          </w:r>
          <w:r>
            <w:rPr>
              <w:rFonts w:hint="eastAsia"/>
            </w:rPr>
            <w:t>年</w:t>
          </w:r>
          <w:r>
            <w:rPr>
              <w:rFonts w:hint="eastAsia"/>
            </w:rPr>
            <w:t xml:space="preserve">10 </w:t>
          </w:r>
          <w:r>
            <w:rPr>
              <w:rFonts w:hint="eastAsia"/>
            </w:rPr>
            <w:t>月</w:t>
          </w:r>
          <w:r w:rsidR="00840AED">
            <w:rPr>
              <w:rFonts w:hint="eastAsia"/>
            </w:rPr>
            <w:t>13</w:t>
          </w:r>
          <w:r>
            <w:rPr>
              <w:rFonts w:hint="eastAsia"/>
            </w:rPr>
            <w:t>日</w:t>
          </w:r>
          <w:r w:rsidR="00C86173" w:rsidRPr="00C86173">
            <w:fldChar w:fldCharType="begin"/>
          </w:r>
          <w:r>
            <w:instrText xml:space="preserve"> TOC \o "1-3" \h \z \u </w:instrText>
          </w:r>
          <w:r w:rsidR="00C86173" w:rsidRPr="00C86173">
            <w:fldChar w:fldCharType="separate"/>
          </w:r>
        </w:p>
        <w:p w:rsidR="00C86173" w:rsidRDefault="00C86173">
          <w:pPr>
            <w:pStyle w:val="10"/>
            <w:rPr>
              <w:rFonts w:ascii="仿宋_GB2312" w:eastAsia="仿宋_GB2312" w:hAnsiTheme="minorHAnsi" w:cstheme="minorBidi"/>
            </w:rPr>
          </w:pPr>
          <w:hyperlink w:anchor="_Toc145324359" w:history="1">
            <w:r w:rsidR="00CC65C4">
              <w:rPr>
                <w:rStyle w:val="a8"/>
                <w:rFonts w:ascii="黑体" w:eastAsia="黑体" w:hAnsi="黑体" w:hint="eastAsia"/>
                <w:color w:val="auto"/>
              </w:rPr>
              <w:t>第一部分</w:t>
            </w:r>
            <w:r w:rsidR="00CC65C4">
              <w:rPr>
                <w:rStyle w:val="a8"/>
                <w:rFonts w:ascii="黑体" w:eastAsia="黑体" w:hAnsi="黑体" w:hint="eastAsia"/>
                <w:color w:val="auto"/>
              </w:rPr>
              <w:t xml:space="preserve"> </w:t>
            </w:r>
            <w:r w:rsidR="00CC65C4">
              <w:rPr>
                <w:rStyle w:val="a8"/>
                <w:rFonts w:ascii="黑体" w:eastAsia="黑体" w:hAnsi="黑体" w:hint="eastAsia"/>
                <w:color w:val="auto"/>
              </w:rPr>
              <w:t>单位概况</w:t>
            </w:r>
            <w:r w:rsidR="00CC65C4">
              <w:rPr>
                <w:rFonts w:ascii="仿宋_GB2312" w:eastAsia="仿宋_GB2312" w:hint="eastAsia"/>
              </w:rPr>
              <w:tab/>
            </w:r>
            <w:r>
              <w:rPr>
                <w:rFonts w:ascii="仿宋_GB2312" w:eastAsia="仿宋_GB2312" w:hint="eastAsia"/>
              </w:rPr>
              <w:fldChar w:fldCharType="begin"/>
            </w:r>
            <w:r w:rsidR="00CC65C4">
              <w:rPr>
                <w:rFonts w:ascii="仿宋_GB2312" w:eastAsia="仿宋_GB2312" w:hint="eastAsia"/>
              </w:rPr>
              <w:instrText xml:space="preserve"> PAGEREF _Toc145324359 \h </w:instrText>
            </w:r>
            <w:r>
              <w:rPr>
                <w:rFonts w:ascii="仿宋_GB2312" w:eastAsia="仿宋_GB2312" w:hint="eastAsia"/>
              </w:rPr>
            </w:r>
            <w:r>
              <w:rPr>
                <w:rFonts w:ascii="仿宋_GB2312" w:eastAsia="仿宋_GB2312" w:hint="eastAsia"/>
              </w:rPr>
              <w:fldChar w:fldCharType="separate"/>
            </w:r>
            <w:r w:rsidR="00CC65C4">
              <w:rPr>
                <w:rFonts w:ascii="仿宋_GB2312" w:eastAsia="仿宋_GB2312" w:hint="eastAsia"/>
              </w:rPr>
              <w:t>1</w:t>
            </w:r>
            <w:r>
              <w:rPr>
                <w:rFonts w:ascii="仿宋_GB2312" w:eastAsia="仿宋_GB2312" w:hint="eastAsia"/>
              </w:rPr>
              <w:fldChar w:fldCharType="end"/>
            </w:r>
          </w:hyperlink>
        </w:p>
        <w:p w:rsidR="00C86173" w:rsidRDefault="00C86173">
          <w:pPr>
            <w:pStyle w:val="20"/>
            <w:rPr>
              <w:rFonts w:ascii="仿宋_GB2312" w:eastAsia="仿宋_GB2312" w:hAnsiTheme="minorHAnsi" w:cstheme="minorBidi"/>
              <w:sz w:val="28"/>
              <w:szCs w:val="28"/>
            </w:rPr>
          </w:pPr>
          <w:hyperlink w:anchor="_Toc145324360" w:history="1">
            <w:r w:rsidR="00CC65C4">
              <w:rPr>
                <w:rStyle w:val="a8"/>
                <w:rFonts w:ascii="仿宋_GB2312" w:eastAsia="仿宋_GB2312" w:hAnsi="黑体" w:hint="eastAsia"/>
                <w:color w:val="auto"/>
                <w:sz w:val="28"/>
                <w:szCs w:val="28"/>
                <w:u w:val="none"/>
              </w:rPr>
              <w:t>一、主要职责</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_Toc145324360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1</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61" w:history="1">
            <w:r w:rsidR="00CC65C4">
              <w:rPr>
                <w:rStyle w:val="a8"/>
                <w:rFonts w:ascii="仿宋_GB2312" w:eastAsia="仿宋_GB2312" w:hAnsi="黑体" w:hint="eastAsia"/>
                <w:color w:val="auto"/>
                <w:sz w:val="28"/>
                <w:szCs w:val="28"/>
              </w:rPr>
              <w:t>二、机构设置</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_Toc145324361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1</w:t>
            </w:r>
            <w:r>
              <w:rPr>
                <w:rFonts w:ascii="仿宋_GB2312" w:eastAsia="仿宋_GB2312" w:hint="eastAsia"/>
                <w:sz w:val="28"/>
                <w:szCs w:val="28"/>
              </w:rPr>
              <w:fldChar w:fldCharType="end"/>
            </w:r>
          </w:hyperlink>
        </w:p>
        <w:p w:rsidR="00C86173" w:rsidRDefault="00C86173">
          <w:pPr>
            <w:pStyle w:val="10"/>
            <w:rPr>
              <w:rFonts w:ascii="仿宋_GB2312" w:eastAsia="仿宋_GB2312" w:hAnsiTheme="minorHAnsi" w:cstheme="minorBidi"/>
            </w:rPr>
          </w:pPr>
          <w:hyperlink w:anchor="_Toc145324362" w:history="1">
            <w:r w:rsidR="00CC65C4">
              <w:rPr>
                <w:rStyle w:val="a8"/>
                <w:rFonts w:ascii="黑体" w:eastAsia="黑体" w:hAnsi="黑体" w:hint="eastAsia"/>
                <w:color w:val="auto"/>
              </w:rPr>
              <w:t>第二部分</w:t>
            </w:r>
            <w:r w:rsidR="00CC65C4">
              <w:rPr>
                <w:rStyle w:val="a8"/>
                <w:rFonts w:ascii="黑体" w:eastAsia="黑体" w:hAnsi="黑体" w:hint="eastAsia"/>
                <w:color w:val="auto"/>
              </w:rPr>
              <w:t xml:space="preserve"> 2022</w:t>
            </w:r>
            <w:r w:rsidR="00CC65C4">
              <w:rPr>
                <w:rStyle w:val="a8"/>
                <w:rFonts w:ascii="黑体" w:eastAsia="黑体" w:hAnsi="黑体" w:hint="eastAsia"/>
                <w:color w:val="auto"/>
              </w:rPr>
              <w:t>年度单位决算情况说明</w:t>
            </w:r>
            <w:r w:rsidR="00CC65C4">
              <w:rPr>
                <w:rFonts w:ascii="仿宋_GB2312" w:eastAsia="仿宋_GB2312" w:hint="eastAsia"/>
              </w:rPr>
              <w:tab/>
            </w:r>
            <w:r>
              <w:rPr>
                <w:rFonts w:ascii="仿宋_GB2312" w:eastAsia="仿宋_GB2312" w:hint="eastAsia"/>
              </w:rPr>
              <w:fldChar w:fldCharType="begin"/>
            </w:r>
            <w:r w:rsidR="00CC65C4">
              <w:rPr>
                <w:rFonts w:ascii="仿宋_GB2312" w:eastAsia="仿宋_GB2312" w:hint="eastAsia"/>
              </w:rPr>
              <w:instrText xml:space="preserve"> PAGE</w:instrText>
            </w:r>
            <w:r w:rsidR="00CC65C4">
              <w:rPr>
                <w:rFonts w:ascii="仿宋_GB2312" w:eastAsia="仿宋_GB2312" w:hint="eastAsia"/>
              </w:rPr>
              <w:instrText xml:space="preserve">REF _Toc145324362 \h </w:instrText>
            </w:r>
            <w:r>
              <w:rPr>
                <w:rFonts w:ascii="仿宋_GB2312" w:eastAsia="仿宋_GB2312" w:hint="eastAsia"/>
              </w:rPr>
            </w:r>
            <w:r>
              <w:rPr>
                <w:rFonts w:ascii="仿宋_GB2312" w:eastAsia="仿宋_GB2312" w:hint="eastAsia"/>
              </w:rPr>
              <w:fldChar w:fldCharType="separate"/>
            </w:r>
            <w:r w:rsidR="00CC65C4">
              <w:rPr>
                <w:rFonts w:ascii="仿宋_GB2312" w:eastAsia="仿宋_GB2312" w:hint="eastAsia"/>
              </w:rPr>
              <w:t>1</w:t>
            </w:r>
            <w:r>
              <w:rPr>
                <w:rFonts w:ascii="仿宋_GB2312" w:eastAsia="仿宋_GB2312" w:hint="eastAsia"/>
              </w:rPr>
              <w:fldChar w:fldCharType="end"/>
            </w:r>
          </w:hyperlink>
        </w:p>
        <w:p w:rsidR="00C86173" w:rsidRDefault="00C86173">
          <w:pPr>
            <w:pStyle w:val="20"/>
            <w:rPr>
              <w:rFonts w:ascii="仿宋_GB2312" w:eastAsia="仿宋_GB2312" w:hAnsiTheme="minorHAnsi" w:cstheme="minorBidi"/>
              <w:sz w:val="28"/>
              <w:szCs w:val="28"/>
            </w:rPr>
          </w:pPr>
          <w:hyperlink w:anchor="_Toc145324363" w:history="1">
            <w:r w:rsidR="00CC65C4">
              <w:rPr>
                <w:rStyle w:val="a8"/>
                <w:rFonts w:ascii="仿宋_GB2312" w:eastAsia="仿宋_GB2312" w:hAnsi="黑体" w:cstheme="majorBidi" w:hint="eastAsia"/>
                <w:bCs/>
                <w:color w:val="auto"/>
                <w:sz w:val="28"/>
                <w:szCs w:val="28"/>
              </w:rPr>
              <w:t>一、</w:t>
            </w:r>
            <w:r w:rsidR="00CC65C4">
              <w:rPr>
                <w:rStyle w:val="a8"/>
                <w:rFonts w:ascii="仿宋_GB2312" w:eastAsia="仿宋_GB2312" w:hAnsi="黑体" w:hint="eastAsia"/>
                <w:color w:val="auto"/>
                <w:sz w:val="28"/>
                <w:szCs w:val="28"/>
              </w:rPr>
              <w:t>收</w:t>
            </w:r>
            <w:r w:rsidR="00CC65C4">
              <w:rPr>
                <w:rStyle w:val="a8"/>
                <w:rFonts w:ascii="仿宋_GB2312" w:eastAsia="仿宋_GB2312" w:hAnsi="黑体" w:cstheme="majorBidi" w:hint="eastAsia"/>
                <w:bCs/>
                <w:color w:val="auto"/>
                <w:sz w:val="28"/>
                <w:szCs w:val="28"/>
              </w:rPr>
              <w:t>入支出决算总体情况说明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_Toc145324363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1</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64" w:history="1">
            <w:r w:rsidR="00CC65C4">
              <w:rPr>
                <w:rStyle w:val="a8"/>
                <w:rFonts w:ascii="仿宋_GB2312" w:eastAsia="仿宋_GB2312" w:hAnsi="黑体" w:cstheme="majorBidi" w:hint="eastAsia"/>
                <w:bCs/>
                <w:color w:val="auto"/>
                <w:sz w:val="28"/>
                <w:szCs w:val="28"/>
              </w:rPr>
              <w:t>二、</w:t>
            </w:r>
            <w:r w:rsidR="00CC65C4">
              <w:rPr>
                <w:rStyle w:val="a8"/>
                <w:rFonts w:ascii="仿宋_GB2312" w:eastAsia="仿宋_GB2312" w:hAnsi="黑体" w:hint="eastAsia"/>
                <w:color w:val="auto"/>
                <w:sz w:val="28"/>
                <w:szCs w:val="28"/>
              </w:rPr>
              <w:t>收</w:t>
            </w:r>
            <w:r w:rsidR="00CC65C4">
              <w:rPr>
                <w:rStyle w:val="a8"/>
                <w:rFonts w:ascii="仿宋_GB2312" w:eastAsia="仿宋_GB2312" w:hAnsi="黑体" w:cstheme="majorBidi" w:hint="eastAsia"/>
                <w:bCs/>
                <w:color w:val="auto"/>
                <w:sz w:val="28"/>
                <w:szCs w:val="28"/>
              </w:rPr>
              <w:t>入决算情况说明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_Toc145324364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66" w:history="1">
            <w:r w:rsidR="00CC65C4">
              <w:rPr>
                <w:rStyle w:val="a8"/>
                <w:rFonts w:ascii="仿宋_GB2312" w:eastAsia="仿宋_GB2312" w:hAnsi="黑体" w:cstheme="majorBidi" w:hint="eastAsia"/>
                <w:bCs/>
                <w:color w:val="auto"/>
                <w:sz w:val="28"/>
                <w:szCs w:val="28"/>
              </w:rPr>
              <w:t>三、</w:t>
            </w:r>
            <w:r w:rsidR="00CC65C4">
              <w:rPr>
                <w:rStyle w:val="a8"/>
                <w:rFonts w:ascii="仿宋_GB2312" w:eastAsia="仿宋_GB2312" w:hAnsi="黑体" w:hint="eastAsia"/>
                <w:color w:val="auto"/>
                <w:sz w:val="28"/>
                <w:szCs w:val="28"/>
              </w:rPr>
              <w:t>支</w:t>
            </w:r>
            <w:r w:rsidR="00CC65C4">
              <w:rPr>
                <w:rStyle w:val="a8"/>
                <w:rFonts w:ascii="仿宋_GB2312" w:eastAsia="仿宋_GB2312" w:hAnsi="黑体" w:cstheme="majorBidi" w:hint="eastAsia"/>
                <w:bCs/>
                <w:color w:val="auto"/>
                <w:sz w:val="28"/>
                <w:szCs w:val="28"/>
              </w:rPr>
              <w:t>出决算情况说明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w:instrText>
            </w:r>
            <w:r w:rsidR="00CC65C4">
              <w:rPr>
                <w:rFonts w:ascii="仿宋_GB2312" w:eastAsia="仿宋_GB2312" w:hint="eastAsia"/>
                <w:sz w:val="28"/>
                <w:szCs w:val="28"/>
              </w:rPr>
              <w:instrText xml:space="preserve">Toc145324366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68" w:history="1">
            <w:r w:rsidR="00CC65C4">
              <w:rPr>
                <w:rStyle w:val="a8"/>
                <w:rFonts w:ascii="仿宋_GB2312" w:eastAsia="仿宋_GB2312" w:hAnsi="黑体" w:hint="eastAsia"/>
                <w:color w:val="auto"/>
                <w:sz w:val="28"/>
                <w:szCs w:val="28"/>
              </w:rPr>
              <w:t>四、财</w:t>
            </w:r>
            <w:r w:rsidR="00CC65C4">
              <w:rPr>
                <w:rStyle w:val="a8"/>
                <w:rFonts w:ascii="仿宋_GB2312" w:eastAsia="仿宋_GB2312" w:hAnsi="黑体" w:cstheme="majorBidi" w:hint="eastAsia"/>
                <w:bCs/>
                <w:color w:val="auto"/>
                <w:sz w:val="28"/>
                <w:szCs w:val="28"/>
              </w:rPr>
              <w:t>政拨款收入支出决算总体情况说明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_Toc145324368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69" w:history="1">
            <w:r w:rsidR="00CC65C4">
              <w:rPr>
                <w:rStyle w:val="a8"/>
                <w:rFonts w:ascii="仿宋_GB2312" w:eastAsia="仿宋_GB2312" w:hAnsi="黑体" w:hint="eastAsia"/>
                <w:color w:val="auto"/>
                <w:sz w:val="28"/>
                <w:szCs w:val="28"/>
              </w:rPr>
              <w:t>五、</w:t>
            </w:r>
            <w:r w:rsidR="00CC65C4">
              <w:rPr>
                <w:rStyle w:val="a8"/>
                <w:rFonts w:ascii="仿宋_GB2312" w:eastAsia="仿宋_GB2312" w:hAnsi="黑体" w:hint="eastAsia"/>
                <w:b/>
                <w:color w:val="auto"/>
                <w:sz w:val="28"/>
                <w:szCs w:val="28"/>
              </w:rPr>
              <w:t>一</w:t>
            </w:r>
            <w:r w:rsidR="00CC65C4">
              <w:rPr>
                <w:rStyle w:val="a8"/>
                <w:rFonts w:ascii="仿宋_GB2312" w:eastAsia="仿宋_GB2312" w:hAnsi="黑体" w:cstheme="majorBidi" w:hint="eastAsia"/>
                <w:bCs/>
                <w:color w:val="auto"/>
                <w:sz w:val="28"/>
                <w:szCs w:val="28"/>
              </w:rPr>
              <w:t>般公共预算财政拨款支出决算情况说明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_Toc145324369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4</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74" w:history="1">
            <w:r w:rsidR="00CC65C4">
              <w:rPr>
                <w:rStyle w:val="a8"/>
                <w:rFonts w:ascii="仿宋_GB2312" w:eastAsia="仿宋_GB2312" w:hint="eastAsia"/>
                <w:color w:val="auto"/>
                <w:sz w:val="28"/>
                <w:szCs w:val="28"/>
              </w:rPr>
              <w:t>六</w:t>
            </w:r>
            <w:r w:rsidR="00CC65C4">
              <w:rPr>
                <w:rStyle w:val="a8"/>
                <w:rFonts w:ascii="仿宋_GB2312" w:eastAsia="仿宋_GB2312" w:hint="eastAsia"/>
                <w:b/>
                <w:color w:val="auto"/>
                <w:sz w:val="28"/>
                <w:szCs w:val="28"/>
              </w:rPr>
              <w:t>、</w:t>
            </w:r>
            <w:r w:rsidR="00CC65C4">
              <w:rPr>
                <w:rStyle w:val="a8"/>
                <w:rFonts w:ascii="仿宋_GB2312" w:eastAsia="仿宋_GB2312" w:hAnsi="黑体" w:hint="eastAsia"/>
                <w:b/>
                <w:color w:val="auto"/>
                <w:sz w:val="28"/>
                <w:szCs w:val="28"/>
              </w:rPr>
              <w:t>一</w:t>
            </w:r>
            <w:r w:rsidR="00CC65C4">
              <w:rPr>
                <w:rStyle w:val="a8"/>
                <w:rFonts w:ascii="仿宋_GB2312" w:eastAsia="仿宋_GB2312" w:hAnsi="黑体" w:cstheme="majorBidi" w:hint="eastAsia"/>
                <w:bCs/>
                <w:color w:val="auto"/>
                <w:sz w:val="28"/>
                <w:szCs w:val="28"/>
              </w:rPr>
              <w:t>般公共预算财政拨款基本支出决算情况说明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_Toc145324374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6</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75" w:history="1">
            <w:r w:rsidR="00CC65C4">
              <w:rPr>
                <w:rStyle w:val="a8"/>
                <w:rFonts w:ascii="仿宋_GB2312" w:eastAsia="仿宋_GB2312" w:hint="eastAsia"/>
                <w:color w:val="auto"/>
                <w:sz w:val="28"/>
                <w:szCs w:val="28"/>
              </w:rPr>
              <w:t>七、</w:t>
            </w:r>
            <w:r w:rsidR="00CC65C4">
              <w:rPr>
                <w:rStyle w:val="a8"/>
                <w:rFonts w:ascii="仿宋_GB2312" w:eastAsia="仿宋_GB2312" w:hAnsi="黑体" w:cstheme="majorBidi" w:hint="eastAsia"/>
                <w:bCs/>
                <w:color w:val="auto"/>
                <w:sz w:val="28"/>
                <w:szCs w:val="28"/>
              </w:rPr>
              <w:t>财政拨款</w:t>
            </w:r>
            <w:r w:rsidR="00CC65C4">
              <w:rPr>
                <w:rStyle w:val="a8"/>
                <w:rFonts w:ascii="仿宋_GB2312" w:eastAsia="仿宋_GB2312" w:hAnsi="黑体" w:cstheme="majorBidi" w:hint="eastAsia"/>
                <w:b/>
                <w:bCs/>
                <w:color w:val="auto"/>
                <w:sz w:val="28"/>
                <w:szCs w:val="28"/>
              </w:rPr>
              <w:t>“</w:t>
            </w:r>
            <w:r w:rsidR="00CC65C4">
              <w:rPr>
                <w:rStyle w:val="a8"/>
                <w:rFonts w:ascii="仿宋_GB2312" w:eastAsia="仿宋_GB2312" w:hAnsi="黑体" w:cstheme="majorBidi" w:hint="eastAsia"/>
                <w:bCs/>
                <w:color w:val="auto"/>
                <w:sz w:val="28"/>
                <w:szCs w:val="28"/>
              </w:rPr>
              <w:t>三公”经费支出决算情况说明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_Toc145324375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6</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78" w:history="1">
            <w:r w:rsidR="00CC65C4">
              <w:rPr>
                <w:rStyle w:val="a8"/>
                <w:rFonts w:ascii="仿宋_GB2312" w:eastAsia="仿宋_GB2312" w:hint="eastAsia"/>
                <w:color w:val="auto"/>
                <w:sz w:val="28"/>
                <w:szCs w:val="28"/>
              </w:rPr>
              <w:t>八、</w:t>
            </w:r>
            <w:r w:rsidR="00CC65C4">
              <w:rPr>
                <w:rStyle w:val="a8"/>
                <w:rFonts w:ascii="仿宋_GB2312" w:eastAsia="仿宋_GB2312" w:hAnsi="黑体" w:cstheme="majorBidi" w:hint="eastAsia"/>
                <w:bCs/>
                <w:color w:val="auto"/>
                <w:sz w:val="28"/>
                <w:szCs w:val="28"/>
              </w:rPr>
              <w:t>政府性基金预算支出决算情况说明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_Toc145324378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8</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79" w:history="1">
            <w:r w:rsidR="00CC65C4">
              <w:rPr>
                <w:rStyle w:val="a8"/>
                <w:rFonts w:ascii="仿宋_GB2312" w:eastAsia="仿宋_GB2312" w:hAnsi="黑体" w:cstheme="majorBidi" w:hint="eastAsia"/>
                <w:bCs/>
                <w:color w:val="auto"/>
                <w:sz w:val="28"/>
                <w:szCs w:val="28"/>
              </w:rPr>
              <w:t>九、</w:t>
            </w:r>
            <w:r w:rsidR="00CC65C4">
              <w:rPr>
                <w:rStyle w:val="a8"/>
                <w:rFonts w:ascii="仿宋_GB2312" w:eastAsia="仿宋_GB2312" w:hAnsi="黑体" w:cstheme="majorBidi" w:hint="eastAsia"/>
                <w:bCs/>
                <w:color w:val="auto"/>
                <w:sz w:val="28"/>
                <w:szCs w:val="28"/>
              </w:rPr>
              <w:t xml:space="preserve"> </w:t>
            </w:r>
            <w:r w:rsidR="00CC65C4">
              <w:rPr>
                <w:rStyle w:val="a8"/>
                <w:rFonts w:ascii="仿宋_GB2312" w:eastAsia="仿宋_GB2312" w:hAnsi="黑体" w:cstheme="majorBidi" w:hint="eastAsia"/>
                <w:bCs/>
                <w:color w:val="auto"/>
                <w:sz w:val="28"/>
                <w:szCs w:val="28"/>
              </w:rPr>
              <w:t>国有资本经营预算支出决算情况说明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_Toc145324379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8</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80" w:history="1">
            <w:r w:rsidR="00CC65C4">
              <w:rPr>
                <w:rStyle w:val="a8"/>
                <w:rFonts w:ascii="仿宋_GB2312" w:eastAsia="仿宋_GB2312" w:hAnsi="黑体" w:cstheme="majorBidi" w:hint="eastAsia"/>
                <w:bCs/>
                <w:color w:val="auto"/>
                <w:sz w:val="28"/>
                <w:szCs w:val="28"/>
              </w:rPr>
              <w:t>十、</w:t>
            </w:r>
            <w:r w:rsidR="00CC65C4">
              <w:rPr>
                <w:rStyle w:val="a8"/>
                <w:rFonts w:ascii="仿宋_GB2312" w:eastAsia="仿宋_GB2312" w:hAnsi="黑体" w:cstheme="majorBidi" w:hint="eastAsia"/>
                <w:bCs/>
                <w:color w:val="auto"/>
                <w:sz w:val="28"/>
                <w:szCs w:val="28"/>
              </w:rPr>
              <w:t xml:space="preserve"> </w:t>
            </w:r>
            <w:r w:rsidR="00CC65C4">
              <w:rPr>
                <w:rStyle w:val="a8"/>
                <w:rFonts w:ascii="仿宋_GB2312" w:eastAsia="仿宋_GB2312" w:hAnsi="黑体" w:cstheme="majorBidi" w:hint="eastAsia"/>
                <w:bCs/>
                <w:color w:val="auto"/>
                <w:sz w:val="28"/>
                <w:szCs w:val="28"/>
              </w:rPr>
              <w:t>其他重要事项的情况说明</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_Toc145324380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8</w:t>
            </w:r>
            <w:r>
              <w:rPr>
                <w:rFonts w:ascii="仿宋_GB2312" w:eastAsia="仿宋_GB2312" w:hint="eastAsia"/>
                <w:sz w:val="28"/>
                <w:szCs w:val="28"/>
              </w:rPr>
              <w:fldChar w:fldCharType="end"/>
            </w:r>
          </w:hyperlink>
        </w:p>
        <w:p w:rsidR="00C86173" w:rsidRDefault="00C86173">
          <w:pPr>
            <w:pStyle w:val="10"/>
            <w:rPr>
              <w:rFonts w:ascii="仿宋_GB2312" w:eastAsia="仿宋_GB2312" w:hAnsiTheme="minorHAnsi" w:cstheme="minorBidi"/>
            </w:rPr>
          </w:pPr>
          <w:hyperlink w:anchor="_Toc145324385" w:history="1">
            <w:r w:rsidR="00CC65C4">
              <w:rPr>
                <w:rStyle w:val="a8"/>
                <w:rFonts w:ascii="黑体" w:eastAsia="黑体" w:hAnsi="黑体" w:cs="黑体" w:hint="eastAsia"/>
                <w:bCs/>
                <w:color w:val="auto"/>
                <w:kern w:val="44"/>
              </w:rPr>
              <w:t>第三部分</w:t>
            </w:r>
            <w:r w:rsidR="00CC65C4">
              <w:rPr>
                <w:rStyle w:val="a8"/>
                <w:rFonts w:ascii="黑体" w:eastAsia="黑体" w:hAnsi="黑体" w:hint="eastAsia"/>
                <w:color w:val="auto"/>
              </w:rPr>
              <w:t xml:space="preserve"> </w:t>
            </w:r>
            <w:r w:rsidR="00CC65C4">
              <w:rPr>
                <w:rStyle w:val="a8"/>
                <w:rFonts w:ascii="黑体" w:eastAsia="黑体" w:hAnsi="黑体" w:hint="eastAsia"/>
                <w:color w:val="auto"/>
              </w:rPr>
              <w:t>名</w:t>
            </w:r>
            <w:r w:rsidR="00CC65C4">
              <w:rPr>
                <w:rStyle w:val="a8"/>
                <w:rFonts w:ascii="黑体" w:eastAsia="黑体" w:hAnsi="黑体" w:hint="eastAsia"/>
                <w:bCs/>
                <w:color w:val="auto"/>
                <w:kern w:val="44"/>
              </w:rPr>
              <w:t>词解释</w:t>
            </w:r>
            <w:r w:rsidR="00CC65C4">
              <w:rPr>
                <w:rFonts w:ascii="仿宋_GB2312" w:eastAsia="仿宋_GB2312" w:hint="eastAsia"/>
              </w:rPr>
              <w:tab/>
            </w:r>
            <w:r>
              <w:rPr>
                <w:rFonts w:ascii="仿宋_GB2312" w:eastAsia="仿宋_GB2312" w:hint="eastAsia"/>
              </w:rPr>
              <w:fldChar w:fldCharType="begin"/>
            </w:r>
            <w:r w:rsidR="00CC65C4">
              <w:rPr>
                <w:rFonts w:ascii="仿宋_GB2312" w:eastAsia="仿宋_GB2312" w:hint="eastAsia"/>
              </w:rPr>
              <w:instrText xml:space="preserve"> PAGEREF _Toc145324385 \h </w:instrText>
            </w:r>
            <w:r>
              <w:rPr>
                <w:rFonts w:ascii="仿宋_GB2312" w:eastAsia="仿宋_GB2312" w:hint="eastAsia"/>
              </w:rPr>
            </w:r>
            <w:r>
              <w:rPr>
                <w:rFonts w:ascii="仿宋_GB2312" w:eastAsia="仿宋_GB2312" w:hint="eastAsia"/>
              </w:rPr>
              <w:fldChar w:fldCharType="separate"/>
            </w:r>
            <w:r w:rsidR="00CC65C4">
              <w:rPr>
                <w:rFonts w:ascii="仿宋_GB2312" w:eastAsia="仿宋_GB2312" w:hint="eastAsia"/>
              </w:rPr>
              <w:t>9</w:t>
            </w:r>
            <w:r>
              <w:rPr>
                <w:rFonts w:ascii="仿宋_GB2312" w:eastAsia="仿宋_GB2312" w:hint="eastAsia"/>
              </w:rPr>
              <w:fldChar w:fldCharType="end"/>
            </w:r>
          </w:hyperlink>
        </w:p>
        <w:p w:rsidR="00C86173" w:rsidRDefault="00C86173">
          <w:pPr>
            <w:pStyle w:val="10"/>
            <w:rPr>
              <w:rFonts w:ascii="仿宋_GB2312" w:eastAsia="仿宋_GB2312" w:hAnsiTheme="minorHAnsi" w:cstheme="minorBidi"/>
            </w:rPr>
          </w:pPr>
          <w:hyperlink w:anchor="_Toc145324386" w:history="1">
            <w:r w:rsidR="00CC65C4">
              <w:rPr>
                <w:rStyle w:val="a8"/>
                <w:rFonts w:ascii="黑体" w:eastAsia="黑体" w:hAnsi="黑体" w:hint="eastAsia"/>
                <w:color w:val="auto"/>
              </w:rPr>
              <w:t>第</w:t>
            </w:r>
            <w:r w:rsidR="00CC65C4">
              <w:rPr>
                <w:rStyle w:val="a8"/>
                <w:rFonts w:ascii="黑体" w:eastAsia="黑体" w:hAnsi="黑体" w:hint="eastAsia"/>
                <w:bCs/>
                <w:color w:val="auto"/>
                <w:kern w:val="44"/>
              </w:rPr>
              <w:t>四部分</w:t>
            </w:r>
            <w:r w:rsidR="00CC65C4">
              <w:rPr>
                <w:rStyle w:val="a8"/>
                <w:rFonts w:ascii="黑体" w:eastAsia="黑体" w:hAnsi="黑体" w:hint="eastAsia"/>
                <w:bCs/>
                <w:color w:val="auto"/>
                <w:kern w:val="44"/>
              </w:rPr>
              <w:t xml:space="preserve"> </w:t>
            </w:r>
            <w:r w:rsidR="00CC65C4">
              <w:rPr>
                <w:rStyle w:val="a8"/>
                <w:rFonts w:ascii="黑体" w:eastAsia="黑体" w:hAnsi="黑体" w:hint="eastAsia"/>
                <w:bCs/>
                <w:color w:val="auto"/>
                <w:kern w:val="44"/>
              </w:rPr>
              <w:t>附件</w:t>
            </w:r>
            <w:r w:rsidR="00CC65C4">
              <w:rPr>
                <w:rFonts w:ascii="仿宋_GB2312" w:eastAsia="仿宋_GB2312" w:hint="eastAsia"/>
              </w:rPr>
              <w:tab/>
            </w:r>
            <w:r>
              <w:rPr>
                <w:rFonts w:ascii="仿宋_GB2312" w:eastAsia="仿宋_GB2312" w:hint="eastAsia"/>
              </w:rPr>
              <w:fldChar w:fldCharType="begin"/>
            </w:r>
            <w:r w:rsidR="00CC65C4">
              <w:rPr>
                <w:rFonts w:ascii="仿宋_GB2312" w:eastAsia="仿宋_GB2312" w:hint="eastAsia"/>
              </w:rPr>
              <w:instrText xml:space="preserve"> PAGEREF _Toc145324386 \h </w:instrText>
            </w:r>
            <w:r>
              <w:rPr>
                <w:rFonts w:ascii="仿宋_GB2312" w:eastAsia="仿宋_GB2312" w:hint="eastAsia"/>
              </w:rPr>
            </w:r>
            <w:r>
              <w:rPr>
                <w:rFonts w:ascii="仿宋_GB2312" w:eastAsia="仿宋_GB2312" w:hint="eastAsia"/>
              </w:rPr>
              <w:fldChar w:fldCharType="separate"/>
            </w:r>
            <w:r w:rsidR="00CC65C4">
              <w:rPr>
                <w:rFonts w:ascii="仿宋_GB2312" w:eastAsia="仿宋_GB2312" w:hint="eastAsia"/>
              </w:rPr>
              <w:t>11</w:t>
            </w:r>
            <w:r>
              <w:rPr>
                <w:rFonts w:ascii="仿宋_GB2312" w:eastAsia="仿宋_GB2312" w:hint="eastAsia"/>
              </w:rPr>
              <w:fldChar w:fldCharType="end"/>
            </w:r>
          </w:hyperlink>
        </w:p>
        <w:p w:rsidR="00C86173" w:rsidRDefault="00C86173">
          <w:pPr>
            <w:pStyle w:val="10"/>
            <w:rPr>
              <w:rFonts w:ascii="仿宋_GB2312" w:eastAsia="仿宋_GB2312" w:hAnsiTheme="minorHAnsi" w:cstheme="minorBidi"/>
            </w:rPr>
          </w:pPr>
          <w:hyperlink w:anchor="_Toc145324388" w:history="1">
            <w:r w:rsidR="00CC65C4">
              <w:rPr>
                <w:rStyle w:val="a8"/>
                <w:rFonts w:ascii="黑体" w:eastAsia="黑体" w:hAnsi="黑体" w:hint="eastAsia"/>
                <w:color w:val="auto"/>
              </w:rPr>
              <w:t>第</w:t>
            </w:r>
            <w:r w:rsidR="00CC65C4">
              <w:rPr>
                <w:rStyle w:val="a8"/>
                <w:rFonts w:ascii="黑体" w:eastAsia="黑体" w:hAnsi="黑体" w:hint="eastAsia"/>
                <w:bCs/>
                <w:color w:val="auto"/>
                <w:kern w:val="44"/>
              </w:rPr>
              <w:t>五部分</w:t>
            </w:r>
            <w:r w:rsidR="00CC65C4">
              <w:rPr>
                <w:rStyle w:val="a8"/>
                <w:rFonts w:ascii="黑体" w:eastAsia="黑体" w:hAnsi="黑体" w:hint="eastAsia"/>
                <w:bCs/>
                <w:color w:val="auto"/>
                <w:kern w:val="44"/>
              </w:rPr>
              <w:t xml:space="preserve"> </w:t>
            </w:r>
            <w:r w:rsidR="00CC65C4">
              <w:rPr>
                <w:rStyle w:val="a8"/>
                <w:rFonts w:ascii="黑体" w:eastAsia="黑体" w:hAnsi="黑体" w:hint="eastAsia"/>
                <w:bCs/>
                <w:color w:val="auto"/>
                <w:kern w:val="44"/>
              </w:rPr>
              <w:t>附表</w:t>
            </w:r>
            <w:r w:rsidR="00CC65C4">
              <w:rPr>
                <w:rFonts w:ascii="仿宋_GB2312" w:eastAsia="仿宋_GB2312" w:hint="eastAsia"/>
              </w:rPr>
              <w:tab/>
            </w:r>
            <w:r>
              <w:rPr>
                <w:rFonts w:ascii="仿宋_GB2312" w:eastAsia="仿宋_GB2312" w:hint="eastAsia"/>
              </w:rPr>
              <w:fldChar w:fldCharType="begin"/>
            </w:r>
            <w:r w:rsidR="00CC65C4">
              <w:rPr>
                <w:rFonts w:ascii="仿宋_GB2312" w:eastAsia="仿宋_GB2312" w:hint="eastAsia"/>
              </w:rPr>
              <w:instrText xml:space="preserve"> PAGEREF _Toc145324388 \h </w:instrText>
            </w:r>
            <w:r>
              <w:rPr>
                <w:rFonts w:ascii="仿宋_GB2312" w:eastAsia="仿宋_GB2312" w:hint="eastAsia"/>
              </w:rPr>
            </w:r>
            <w:r>
              <w:rPr>
                <w:rFonts w:ascii="仿宋_GB2312" w:eastAsia="仿宋_GB2312" w:hint="eastAsia"/>
              </w:rPr>
              <w:fldChar w:fldCharType="separate"/>
            </w:r>
            <w:r w:rsidR="00CC65C4">
              <w:rPr>
                <w:rFonts w:ascii="仿宋_GB2312" w:eastAsia="仿宋_GB2312" w:hint="eastAsia"/>
              </w:rPr>
              <w:t>32</w:t>
            </w:r>
            <w:r>
              <w:rPr>
                <w:rFonts w:ascii="仿宋_GB2312" w:eastAsia="仿宋_GB2312" w:hint="eastAsia"/>
              </w:rPr>
              <w:fldChar w:fldCharType="end"/>
            </w:r>
          </w:hyperlink>
        </w:p>
        <w:p w:rsidR="00C86173" w:rsidRDefault="00C86173">
          <w:pPr>
            <w:pStyle w:val="20"/>
            <w:rPr>
              <w:rFonts w:ascii="仿宋_GB2312" w:eastAsia="仿宋_GB2312" w:hAnsiTheme="minorHAnsi" w:cstheme="minorBidi"/>
              <w:sz w:val="28"/>
              <w:szCs w:val="28"/>
            </w:rPr>
          </w:pPr>
          <w:hyperlink w:anchor="_Toc145324389" w:history="1">
            <w:r w:rsidR="00CC65C4">
              <w:rPr>
                <w:rStyle w:val="a8"/>
                <w:rFonts w:ascii="仿宋_GB2312" w:eastAsia="仿宋_GB2312" w:hAnsi="仿宋" w:hint="eastAsia"/>
                <w:color w:val="auto"/>
                <w:sz w:val="28"/>
                <w:szCs w:val="28"/>
              </w:rPr>
              <w:t>一、收入支出决算总表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_Toc145324389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0" w:history="1">
            <w:r w:rsidR="00CC65C4">
              <w:rPr>
                <w:rStyle w:val="a8"/>
                <w:rFonts w:ascii="仿宋_GB2312" w:eastAsia="仿宋_GB2312" w:hAnsi="仿宋" w:hint="eastAsia"/>
                <w:color w:val="auto"/>
                <w:sz w:val="28"/>
                <w:szCs w:val="28"/>
              </w:rPr>
              <w:t>二、收入决算表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_Toc145324390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1" w:history="1">
            <w:r w:rsidR="00CC65C4">
              <w:rPr>
                <w:rStyle w:val="a8"/>
                <w:rFonts w:ascii="仿宋_GB2312" w:eastAsia="仿宋_GB2312" w:hAnsi="仿宋" w:hint="eastAsia"/>
                <w:color w:val="auto"/>
                <w:sz w:val="28"/>
                <w:szCs w:val="28"/>
              </w:rPr>
              <w:t>三、支出决算表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_Toc145324391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2" w:history="1">
            <w:r w:rsidR="00CC65C4">
              <w:rPr>
                <w:rStyle w:val="a8"/>
                <w:rFonts w:ascii="仿宋_GB2312" w:eastAsia="仿宋_GB2312" w:hAnsi="仿宋" w:hint="eastAsia"/>
                <w:color w:val="auto"/>
                <w:sz w:val="28"/>
                <w:szCs w:val="28"/>
              </w:rPr>
              <w:t>四、财政拨款收入支出决算总表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_Toc145324392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3" w:history="1">
            <w:r w:rsidR="00CC65C4">
              <w:rPr>
                <w:rStyle w:val="a8"/>
                <w:rFonts w:ascii="仿宋_GB2312" w:eastAsia="仿宋_GB2312" w:hAnsi="仿宋" w:hint="eastAsia"/>
                <w:color w:val="auto"/>
                <w:sz w:val="28"/>
                <w:szCs w:val="28"/>
              </w:rPr>
              <w:t>五、财政拨款支出决算明细表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_Toc145324393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4" w:history="1">
            <w:r w:rsidR="00CC65C4">
              <w:rPr>
                <w:rStyle w:val="a8"/>
                <w:rFonts w:ascii="仿宋_GB2312" w:eastAsia="仿宋_GB2312" w:hAnsi="仿宋" w:hint="eastAsia"/>
                <w:color w:val="auto"/>
                <w:sz w:val="28"/>
                <w:szCs w:val="28"/>
              </w:rPr>
              <w:t>六、一般公共预算财政拨款支出决算表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_Toc145324394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5" w:history="1">
            <w:r w:rsidR="00CC65C4">
              <w:rPr>
                <w:rStyle w:val="a8"/>
                <w:rFonts w:ascii="仿宋_GB2312" w:eastAsia="仿宋_GB2312" w:hAnsi="仿宋" w:hint="eastAsia"/>
                <w:color w:val="auto"/>
                <w:sz w:val="28"/>
                <w:szCs w:val="28"/>
              </w:rPr>
              <w:t>七、一般公共预算财政拨款支出决算明细表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_Toc145324395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6" w:history="1">
            <w:r w:rsidR="00CC65C4">
              <w:rPr>
                <w:rStyle w:val="a8"/>
                <w:rFonts w:ascii="仿宋_GB2312" w:eastAsia="仿宋_GB2312" w:hAnsi="仿宋" w:hint="eastAsia"/>
                <w:color w:val="auto"/>
                <w:sz w:val="28"/>
                <w:szCs w:val="28"/>
              </w:rPr>
              <w:t>八、一般公共预算财政拨</w:t>
            </w:r>
            <w:r w:rsidR="00CC65C4">
              <w:rPr>
                <w:rStyle w:val="a8"/>
                <w:rFonts w:ascii="仿宋_GB2312" w:eastAsia="仿宋_GB2312" w:hAnsi="仿宋" w:hint="eastAsia"/>
                <w:color w:val="auto"/>
                <w:sz w:val="28"/>
                <w:szCs w:val="28"/>
              </w:rPr>
              <w:t>款基本支出决算表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_Toc145324396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7" w:history="1">
            <w:r w:rsidR="00CC65C4">
              <w:rPr>
                <w:rStyle w:val="a8"/>
                <w:rFonts w:ascii="仿宋_GB2312" w:eastAsia="仿宋_GB2312" w:hAnsi="仿宋" w:hint="eastAsia"/>
                <w:color w:val="auto"/>
                <w:sz w:val="28"/>
                <w:szCs w:val="28"/>
              </w:rPr>
              <w:t>九、一般公共预算财政拨款项目支出决算表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_Toc145324397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8" w:history="1">
            <w:r w:rsidR="00CC65C4">
              <w:rPr>
                <w:rStyle w:val="a8"/>
                <w:rFonts w:ascii="仿宋_GB2312" w:eastAsia="仿宋_GB2312" w:hAnsi="仿宋" w:hint="eastAsia"/>
                <w:color w:val="auto"/>
                <w:sz w:val="28"/>
                <w:szCs w:val="28"/>
              </w:rPr>
              <w:t>十、政府性基金预算财政拨款收入支出决算表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_Toc145324398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399" w:history="1">
            <w:r w:rsidR="00CC65C4">
              <w:rPr>
                <w:rStyle w:val="a8"/>
                <w:rFonts w:ascii="仿宋_GB2312" w:eastAsia="仿宋_GB2312" w:hAnsi="仿宋" w:hint="eastAsia"/>
                <w:color w:val="auto"/>
                <w:sz w:val="28"/>
                <w:szCs w:val="28"/>
              </w:rPr>
              <w:t>十一、国有资本经营预算财政拨款收入支出决算表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_Toc145324399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仿宋_GB2312" w:eastAsia="仿宋_GB2312" w:hAnsiTheme="minorHAnsi" w:cstheme="minorBidi"/>
              <w:sz w:val="28"/>
              <w:szCs w:val="28"/>
            </w:rPr>
          </w:pPr>
          <w:hyperlink w:anchor="_Toc145324400" w:history="1">
            <w:r w:rsidR="00CC65C4">
              <w:rPr>
                <w:rStyle w:val="a8"/>
                <w:rFonts w:ascii="仿宋_GB2312" w:eastAsia="仿宋_GB2312" w:hAnsi="仿宋" w:hint="eastAsia"/>
                <w:color w:val="auto"/>
                <w:sz w:val="28"/>
                <w:szCs w:val="28"/>
              </w:rPr>
              <w:t>十二、国有资本经营预算财政拨款支出决算表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_Toc145324400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pPr>
            <w:pStyle w:val="20"/>
            <w:rPr>
              <w:rFonts w:asciiTheme="minorHAnsi" w:eastAsiaTheme="minorEastAsia" w:hAnsiTheme="minorHAnsi" w:cstheme="minorBidi"/>
              <w:szCs w:val="22"/>
            </w:rPr>
          </w:pPr>
          <w:hyperlink w:anchor="_Toc145324401" w:history="1">
            <w:r w:rsidR="00CC65C4">
              <w:rPr>
                <w:rStyle w:val="a8"/>
                <w:rFonts w:ascii="仿宋_GB2312" w:eastAsia="仿宋_GB2312" w:hAnsi="仿宋" w:hint="eastAsia"/>
                <w:color w:val="auto"/>
                <w:sz w:val="28"/>
                <w:szCs w:val="28"/>
              </w:rPr>
              <w:t>十三、财政拨款“三</w:t>
            </w:r>
            <w:r w:rsidR="00CC65C4">
              <w:rPr>
                <w:rStyle w:val="a8"/>
                <w:rFonts w:ascii="仿宋_GB2312" w:eastAsia="仿宋_GB2312" w:hAnsi="仿宋" w:hint="eastAsia"/>
                <w:color w:val="auto"/>
                <w:sz w:val="28"/>
                <w:szCs w:val="28"/>
              </w:rPr>
              <w:t>公”经费支出决算表</w:t>
            </w:r>
            <w:r w:rsidR="00CC65C4">
              <w:rPr>
                <w:rFonts w:ascii="仿宋_GB2312" w:eastAsia="仿宋_GB2312" w:hint="eastAsia"/>
                <w:sz w:val="28"/>
                <w:szCs w:val="28"/>
              </w:rPr>
              <w:tab/>
            </w:r>
            <w:r>
              <w:rPr>
                <w:rFonts w:ascii="仿宋_GB2312" w:eastAsia="仿宋_GB2312" w:hint="eastAsia"/>
                <w:sz w:val="28"/>
                <w:szCs w:val="28"/>
              </w:rPr>
              <w:fldChar w:fldCharType="begin"/>
            </w:r>
            <w:r w:rsidR="00CC65C4">
              <w:rPr>
                <w:rFonts w:ascii="仿宋_GB2312" w:eastAsia="仿宋_GB2312" w:hint="eastAsia"/>
                <w:sz w:val="28"/>
                <w:szCs w:val="28"/>
              </w:rPr>
              <w:instrText xml:space="preserve"> PAGEREF _Toc145324401 \h </w:instrText>
            </w:r>
            <w:r>
              <w:rPr>
                <w:rFonts w:ascii="仿宋_GB2312" w:eastAsia="仿宋_GB2312" w:hint="eastAsia"/>
                <w:sz w:val="28"/>
                <w:szCs w:val="28"/>
              </w:rPr>
            </w:r>
            <w:r>
              <w:rPr>
                <w:rFonts w:ascii="仿宋_GB2312" w:eastAsia="仿宋_GB2312" w:hint="eastAsia"/>
                <w:sz w:val="28"/>
                <w:szCs w:val="28"/>
              </w:rPr>
              <w:fldChar w:fldCharType="separate"/>
            </w:r>
            <w:r w:rsidR="00CC65C4">
              <w:rPr>
                <w:rFonts w:ascii="仿宋_GB2312" w:eastAsia="仿宋_GB2312" w:hint="eastAsia"/>
                <w:sz w:val="28"/>
                <w:szCs w:val="28"/>
              </w:rPr>
              <w:t>32</w:t>
            </w:r>
            <w:r>
              <w:rPr>
                <w:rFonts w:ascii="仿宋_GB2312" w:eastAsia="仿宋_GB2312" w:hint="eastAsia"/>
                <w:sz w:val="28"/>
                <w:szCs w:val="28"/>
              </w:rPr>
              <w:fldChar w:fldCharType="end"/>
            </w:r>
          </w:hyperlink>
        </w:p>
        <w:p w:rsidR="00C86173" w:rsidRDefault="00C86173">
          <w:r>
            <w:fldChar w:fldCharType="end"/>
          </w:r>
        </w:p>
      </w:sdtContent>
    </w:sdt>
    <w:p w:rsidR="00C86173" w:rsidRDefault="00C86173">
      <w:pPr>
        <w:jc w:val="center"/>
        <w:rPr>
          <w:rFonts w:ascii="黑体" w:eastAsia="黑体" w:hAnsi="黑体"/>
          <w:sz w:val="44"/>
          <w:szCs w:val="44"/>
        </w:rPr>
        <w:sectPr w:rsidR="00C86173">
          <w:headerReference w:type="default" r:id="rId9"/>
          <w:pgSz w:w="11906" w:h="16838"/>
          <w:pgMar w:top="1440" w:right="1800" w:bottom="1440" w:left="1800" w:header="851" w:footer="992" w:gutter="0"/>
          <w:pgNumType w:start="1"/>
          <w:cols w:space="425"/>
          <w:titlePg/>
          <w:docGrid w:type="lines" w:linePitch="312"/>
        </w:sectPr>
      </w:pPr>
      <w:bookmarkStart w:id="16" w:name="_Toc15396599"/>
      <w:bookmarkStart w:id="17" w:name="_Toc15377196"/>
      <w:bookmarkStart w:id="18" w:name="_Toc145324359"/>
    </w:p>
    <w:p w:rsidR="00C86173" w:rsidRDefault="00CC65C4">
      <w:pPr>
        <w:jc w:val="center"/>
        <w:rPr>
          <w:rStyle w:val="1Char"/>
          <w:rFonts w:ascii="黑体" w:eastAsia="黑体" w:hAnsi="黑体"/>
          <w:b w:val="0"/>
        </w:rPr>
      </w:pPr>
      <w:r>
        <w:rPr>
          <w:rFonts w:ascii="黑体" w:eastAsia="黑体" w:hAnsi="黑体" w:hint="eastAsia"/>
          <w:sz w:val="44"/>
          <w:szCs w:val="44"/>
        </w:rPr>
        <w:lastRenderedPageBreak/>
        <w:t>第一部分</w:t>
      </w:r>
      <w:r>
        <w:rPr>
          <w:rFonts w:ascii="黑体" w:eastAsia="黑体" w:hAnsi="黑体" w:hint="eastAsia"/>
          <w:sz w:val="44"/>
          <w:szCs w:val="44"/>
        </w:rPr>
        <w:t xml:space="preserve"> </w:t>
      </w:r>
      <w:r>
        <w:rPr>
          <w:rFonts w:ascii="黑体" w:eastAsia="黑体" w:hAnsi="黑体" w:hint="eastAsia"/>
          <w:sz w:val="44"/>
          <w:szCs w:val="44"/>
        </w:rPr>
        <w:t>单位</w:t>
      </w:r>
      <w:r>
        <w:rPr>
          <w:rStyle w:val="1Char"/>
          <w:rFonts w:ascii="黑体" w:eastAsia="黑体" w:hAnsi="黑体" w:hint="eastAsia"/>
        </w:rPr>
        <w:t>概况</w:t>
      </w:r>
      <w:bookmarkEnd w:id="16"/>
      <w:bookmarkEnd w:id="17"/>
      <w:bookmarkEnd w:id="18"/>
    </w:p>
    <w:p w:rsidR="00C86173" w:rsidRDefault="00C86173">
      <w:pPr>
        <w:widowControl/>
        <w:jc w:val="left"/>
        <w:rPr>
          <w:rFonts w:ascii="黑体" w:eastAsia="黑体"/>
          <w:sz w:val="32"/>
          <w:szCs w:val="32"/>
        </w:rPr>
      </w:pPr>
    </w:p>
    <w:p w:rsidR="00C86173" w:rsidRDefault="00CC65C4">
      <w:pPr>
        <w:pStyle w:val="2"/>
        <w:numPr>
          <w:ilvl w:val="0"/>
          <w:numId w:val="1"/>
        </w:numPr>
        <w:ind w:leftChars="337" w:left="708"/>
        <w:rPr>
          <w:rStyle w:val="2Char"/>
          <w:rFonts w:ascii="黑体" w:eastAsia="黑体" w:hAnsi="黑体"/>
        </w:rPr>
      </w:pPr>
      <w:bookmarkStart w:id="19" w:name="_Toc145324360"/>
      <w:bookmarkStart w:id="20" w:name="_Toc15377197"/>
      <w:bookmarkStart w:id="21" w:name="_Toc15396600"/>
      <w:r>
        <w:rPr>
          <w:rStyle w:val="2Char"/>
          <w:rFonts w:ascii="黑体" w:eastAsia="黑体" w:hAnsi="黑体" w:hint="eastAsia"/>
        </w:rPr>
        <w:t>主要职责</w:t>
      </w:r>
      <w:bookmarkEnd w:id="19"/>
    </w:p>
    <w:p w:rsidR="00C86173" w:rsidRDefault="00CC65C4">
      <w:pPr>
        <w:ind w:firstLineChars="200" w:firstLine="640"/>
        <w:rPr>
          <w:rFonts w:ascii="仿宋_GB2312" w:eastAsia="仿宋_GB2312"/>
        </w:rPr>
      </w:pPr>
      <w:r>
        <w:rPr>
          <w:rFonts w:ascii="仿宋_GB2312" w:eastAsia="仿宋_GB2312" w:hAnsi="仿宋" w:hint="eastAsia"/>
          <w:bCs/>
          <w:sz w:val="32"/>
          <w:szCs w:val="32"/>
        </w:rPr>
        <w:t>本单位主要职责</w:t>
      </w:r>
      <w:r>
        <w:rPr>
          <w:rFonts w:ascii="仿宋_GB2312" w:eastAsia="仿宋_GB2312" w:hAnsi="微软雅黑" w:cs="微软雅黑" w:hint="eastAsia"/>
          <w:sz w:val="32"/>
          <w:szCs w:val="32"/>
        </w:rPr>
        <w:t>为：研究教学理论和学科教学评价方法、帮助提高教师的教学能力、搞好课程改革、组织对学科教学质量进行监测评估。</w:t>
      </w:r>
    </w:p>
    <w:p w:rsidR="00C86173" w:rsidRDefault="00CC65C4">
      <w:pPr>
        <w:pStyle w:val="2"/>
        <w:ind w:leftChars="337" w:left="708"/>
        <w:rPr>
          <w:rFonts w:ascii="黑体" w:eastAsia="黑体" w:hAnsi="黑体"/>
          <w:b w:val="0"/>
        </w:rPr>
      </w:pPr>
      <w:bookmarkStart w:id="22" w:name="_Toc145324361"/>
      <w:r>
        <w:rPr>
          <w:rFonts w:ascii="黑体" w:eastAsia="黑体" w:hAnsi="黑体" w:hint="eastAsia"/>
          <w:b w:val="0"/>
        </w:rPr>
        <w:t>二、机构设置</w:t>
      </w:r>
      <w:bookmarkEnd w:id="22"/>
    </w:p>
    <w:bookmarkEnd w:id="20"/>
    <w:bookmarkEnd w:id="21"/>
    <w:p w:rsidR="00C86173" w:rsidRDefault="00CC65C4">
      <w:pPr>
        <w:spacing w:line="600" w:lineRule="exact"/>
        <w:ind w:firstLineChars="200" w:firstLine="640"/>
        <w:rPr>
          <w:rFonts w:ascii="仿宋_GB2312" w:eastAsia="仿宋_GB2312"/>
          <w:sz w:val="32"/>
          <w:szCs w:val="32"/>
        </w:rPr>
      </w:pPr>
      <w:r>
        <w:rPr>
          <w:rFonts w:ascii="仿宋_GB2312" w:eastAsia="仿宋_GB2312" w:hint="eastAsia"/>
          <w:sz w:val="32"/>
          <w:szCs w:val="32"/>
        </w:rPr>
        <w:t>广元市教育科学研究所属于市教育局下属的二级预算单位</w:t>
      </w:r>
      <w:r>
        <w:rPr>
          <w:rFonts w:hint="eastAsia"/>
          <w:sz w:val="32"/>
          <w:szCs w:val="32"/>
        </w:rPr>
        <w:t>，</w:t>
      </w:r>
      <w:r>
        <w:rPr>
          <w:rFonts w:ascii="仿宋_GB2312" w:eastAsia="仿宋_GB2312" w:hint="eastAsia"/>
          <w:sz w:val="32"/>
          <w:szCs w:val="32"/>
        </w:rPr>
        <w:t>设独立编制机构</w:t>
      </w:r>
      <w:r>
        <w:rPr>
          <w:rFonts w:ascii="仿宋_GB2312" w:eastAsia="仿宋_GB2312" w:hint="eastAsia"/>
          <w:sz w:val="32"/>
          <w:szCs w:val="32"/>
        </w:rPr>
        <w:t>1</w:t>
      </w:r>
      <w:r>
        <w:rPr>
          <w:rFonts w:ascii="仿宋_GB2312" w:eastAsia="仿宋_GB2312" w:hint="eastAsia"/>
          <w:sz w:val="32"/>
          <w:szCs w:val="32"/>
        </w:rPr>
        <w:t>个，独立预算单位</w:t>
      </w:r>
      <w:r>
        <w:rPr>
          <w:rFonts w:ascii="仿宋_GB2312" w:eastAsia="仿宋_GB2312" w:hint="eastAsia"/>
          <w:sz w:val="32"/>
          <w:szCs w:val="32"/>
        </w:rPr>
        <w:t>1</w:t>
      </w:r>
      <w:r>
        <w:rPr>
          <w:rFonts w:ascii="仿宋_GB2312" w:eastAsia="仿宋_GB2312" w:hint="eastAsia"/>
          <w:sz w:val="32"/>
          <w:szCs w:val="32"/>
        </w:rPr>
        <w:t>个，其中其他事业机构</w:t>
      </w:r>
      <w:r>
        <w:rPr>
          <w:rFonts w:ascii="仿宋_GB2312" w:eastAsia="仿宋_GB2312" w:hint="eastAsia"/>
          <w:sz w:val="32"/>
          <w:szCs w:val="32"/>
        </w:rPr>
        <w:t>1</w:t>
      </w:r>
      <w:r>
        <w:rPr>
          <w:rFonts w:ascii="仿宋_GB2312" w:eastAsia="仿宋_GB2312" w:hint="eastAsia"/>
          <w:sz w:val="32"/>
          <w:szCs w:val="32"/>
        </w:rPr>
        <w:t>个，与上年相比较无变化。</w:t>
      </w:r>
    </w:p>
    <w:p w:rsidR="00C86173" w:rsidRDefault="00CC65C4">
      <w:pPr>
        <w:pStyle w:val="a3"/>
        <w:spacing w:before="93"/>
      </w:pPr>
      <w:r>
        <w:rPr>
          <w:rFonts w:hint="eastAsia"/>
        </w:rPr>
        <w:t xml:space="preserve">    </w:t>
      </w:r>
      <w:r>
        <w:rPr>
          <w:rFonts w:hint="eastAsia"/>
        </w:rPr>
        <w:t>纳入</w:t>
      </w:r>
      <w:r>
        <w:rPr>
          <w:rFonts w:hint="eastAsia"/>
        </w:rPr>
        <w:t>2022</w:t>
      </w:r>
      <w:r>
        <w:rPr>
          <w:rFonts w:hint="eastAsia"/>
        </w:rPr>
        <w:t>年单位决算编制范围的独立编制机构包括</w:t>
      </w:r>
      <w:r>
        <w:rPr>
          <w:rFonts w:hint="eastAsia"/>
          <w:sz w:val="32"/>
          <w:szCs w:val="32"/>
        </w:rPr>
        <w:t>广元市教育科学研究所。</w:t>
      </w:r>
    </w:p>
    <w:p w:rsidR="00C86173" w:rsidRDefault="00CC65C4">
      <w:pPr>
        <w:widowControl/>
        <w:ind w:firstLine="648"/>
        <w:jc w:val="left"/>
        <w:rPr>
          <w:rFonts w:ascii="仿宋_GB2312" w:eastAsia="仿宋_GB2312"/>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年末本单位在职职工</w:t>
      </w:r>
      <w:r>
        <w:rPr>
          <w:rFonts w:ascii="仿宋_GB2312" w:eastAsia="仿宋_GB2312" w:hAnsi="仿宋" w:hint="eastAsia"/>
          <w:sz w:val="32"/>
          <w:szCs w:val="32"/>
        </w:rPr>
        <w:t>23</w:t>
      </w:r>
      <w:r>
        <w:rPr>
          <w:rFonts w:ascii="仿宋_GB2312" w:eastAsia="仿宋_GB2312" w:hAnsi="仿宋" w:hint="eastAsia"/>
          <w:sz w:val="32"/>
          <w:szCs w:val="32"/>
        </w:rPr>
        <w:t>人，因工作需要调出</w:t>
      </w:r>
      <w:r>
        <w:rPr>
          <w:rFonts w:ascii="仿宋_GB2312" w:eastAsia="仿宋_GB2312" w:hAnsi="仿宋" w:hint="eastAsia"/>
          <w:sz w:val="32"/>
          <w:szCs w:val="32"/>
        </w:rPr>
        <w:t>2</w:t>
      </w:r>
      <w:r>
        <w:rPr>
          <w:rFonts w:ascii="仿宋_GB2312" w:eastAsia="仿宋_GB2312" w:hAnsi="仿宋" w:hint="eastAsia"/>
          <w:sz w:val="32"/>
          <w:szCs w:val="32"/>
        </w:rPr>
        <w:t>人，与</w:t>
      </w:r>
      <w:r>
        <w:rPr>
          <w:rFonts w:ascii="仿宋_GB2312" w:eastAsia="仿宋_GB2312" w:hint="eastAsia"/>
          <w:sz w:val="32"/>
          <w:szCs w:val="32"/>
        </w:rPr>
        <w:t>上年相比较年末在职职工减少</w:t>
      </w:r>
      <w:r>
        <w:rPr>
          <w:rFonts w:ascii="仿宋_GB2312" w:eastAsia="仿宋_GB2312" w:hint="eastAsia"/>
          <w:sz w:val="32"/>
          <w:szCs w:val="32"/>
        </w:rPr>
        <w:t>2</w:t>
      </w:r>
      <w:r>
        <w:rPr>
          <w:rFonts w:ascii="仿宋_GB2312" w:eastAsia="仿宋_GB2312" w:hint="eastAsia"/>
          <w:sz w:val="32"/>
          <w:szCs w:val="32"/>
        </w:rPr>
        <w:t>人。</w:t>
      </w:r>
    </w:p>
    <w:p w:rsidR="00C86173" w:rsidRDefault="00CC65C4">
      <w:pPr>
        <w:widowControl/>
        <w:ind w:firstLine="648"/>
        <w:jc w:val="left"/>
        <w:rPr>
          <w:rFonts w:ascii="仿宋_GB2312" w:eastAsia="仿宋_GB2312" w:hAnsi="仿宋"/>
          <w:kern w:val="0"/>
          <w:sz w:val="32"/>
          <w:szCs w:val="32"/>
        </w:rPr>
      </w:pPr>
      <w:r>
        <w:rPr>
          <w:rFonts w:ascii="仿宋_GB2312" w:eastAsia="仿宋_GB2312" w:hint="eastAsia"/>
          <w:sz w:val="32"/>
          <w:szCs w:val="32"/>
        </w:rPr>
        <w:t>2022</w:t>
      </w:r>
      <w:r>
        <w:rPr>
          <w:rFonts w:ascii="仿宋_GB2312" w:eastAsia="仿宋_GB2312" w:hAnsi="仿宋" w:hint="eastAsia"/>
          <w:sz w:val="32"/>
          <w:szCs w:val="32"/>
        </w:rPr>
        <w:t>年末本单位退休职工</w:t>
      </w:r>
      <w:r>
        <w:rPr>
          <w:rFonts w:ascii="仿宋_GB2312" w:eastAsia="仿宋_GB2312" w:hAnsi="仿宋" w:hint="eastAsia"/>
          <w:sz w:val="32"/>
          <w:szCs w:val="32"/>
        </w:rPr>
        <w:t>18</w:t>
      </w:r>
      <w:r>
        <w:rPr>
          <w:rFonts w:ascii="仿宋_GB2312" w:eastAsia="仿宋_GB2312" w:hAnsi="仿宋" w:hint="eastAsia"/>
          <w:sz w:val="32"/>
          <w:szCs w:val="32"/>
        </w:rPr>
        <w:t>人，因病去世</w:t>
      </w:r>
      <w:r>
        <w:rPr>
          <w:rFonts w:ascii="仿宋_GB2312" w:eastAsia="仿宋_GB2312" w:hAnsi="仿宋" w:hint="eastAsia"/>
          <w:sz w:val="32"/>
          <w:szCs w:val="32"/>
        </w:rPr>
        <w:t>1</w:t>
      </w:r>
      <w:r>
        <w:rPr>
          <w:rFonts w:ascii="仿宋_GB2312" w:eastAsia="仿宋_GB2312" w:hAnsi="仿宋" w:hint="eastAsia"/>
          <w:sz w:val="32"/>
          <w:szCs w:val="32"/>
        </w:rPr>
        <w:t>人，与</w:t>
      </w:r>
      <w:r>
        <w:rPr>
          <w:rFonts w:ascii="仿宋_GB2312" w:eastAsia="仿宋_GB2312" w:hint="eastAsia"/>
          <w:sz w:val="32"/>
          <w:szCs w:val="32"/>
        </w:rPr>
        <w:t>上年相比较年末退休职工减少</w:t>
      </w:r>
      <w:r>
        <w:rPr>
          <w:rFonts w:ascii="仿宋_GB2312" w:eastAsia="仿宋_GB2312" w:hint="eastAsia"/>
          <w:sz w:val="32"/>
          <w:szCs w:val="32"/>
        </w:rPr>
        <w:t>1</w:t>
      </w:r>
      <w:r>
        <w:rPr>
          <w:rFonts w:ascii="仿宋_GB2312" w:eastAsia="仿宋_GB2312" w:hint="eastAsia"/>
          <w:sz w:val="32"/>
          <w:szCs w:val="32"/>
        </w:rPr>
        <w:t>人。</w:t>
      </w:r>
    </w:p>
    <w:p w:rsidR="00C86173" w:rsidRDefault="00CC65C4">
      <w:pPr>
        <w:pStyle w:val="1"/>
        <w:ind w:right="440"/>
        <w:jc w:val="center"/>
        <w:rPr>
          <w:rFonts w:ascii="黑体" w:eastAsia="黑体" w:hAnsi="黑体"/>
          <w:b w:val="0"/>
        </w:rPr>
      </w:pPr>
      <w:bookmarkStart w:id="23" w:name="_Toc15377204"/>
      <w:bookmarkStart w:id="24" w:name="_Toc15396602"/>
      <w:bookmarkStart w:id="25" w:name="_Toc145324362"/>
      <w:r>
        <w:rPr>
          <w:rFonts w:ascii="黑体" w:eastAsia="黑体" w:hAnsi="黑体" w:hint="eastAsia"/>
          <w:b w:val="0"/>
        </w:rPr>
        <w:t>第二部分</w:t>
      </w:r>
      <w:r>
        <w:rPr>
          <w:rFonts w:ascii="黑体" w:eastAsia="黑体" w:hAnsi="黑体" w:hint="eastAsia"/>
          <w:b w:val="0"/>
        </w:rPr>
        <w:t xml:space="preserve"> 2022</w:t>
      </w:r>
      <w:r>
        <w:rPr>
          <w:rFonts w:ascii="黑体" w:eastAsia="黑体" w:hAnsi="黑体" w:hint="eastAsia"/>
          <w:b w:val="0"/>
        </w:rPr>
        <w:t>年度</w:t>
      </w:r>
      <w:r>
        <w:rPr>
          <w:rStyle w:val="1Char"/>
          <w:rFonts w:ascii="黑体" w:eastAsia="黑体" w:hAnsi="黑体" w:hint="eastAsia"/>
          <w:bCs/>
        </w:rPr>
        <w:t>单位决算情况说明</w:t>
      </w:r>
      <w:bookmarkEnd w:id="23"/>
      <w:bookmarkEnd w:id="24"/>
      <w:bookmarkEnd w:id="25"/>
    </w:p>
    <w:p w:rsidR="00C86173" w:rsidRDefault="00CC65C4">
      <w:pPr>
        <w:pStyle w:val="a9"/>
        <w:numPr>
          <w:ilvl w:val="0"/>
          <w:numId w:val="2"/>
        </w:numPr>
        <w:spacing w:line="600" w:lineRule="exact"/>
        <w:ind w:firstLineChars="0"/>
        <w:outlineLvl w:val="1"/>
        <w:rPr>
          <w:rStyle w:val="2Char"/>
          <w:rFonts w:ascii="黑体" w:eastAsia="黑体" w:hAnsi="黑体"/>
          <w:b w:val="0"/>
        </w:rPr>
      </w:pPr>
      <w:bookmarkStart w:id="26" w:name="_Toc15377205"/>
      <w:bookmarkStart w:id="27" w:name="_Toc15396603"/>
      <w:bookmarkStart w:id="28" w:name="_Toc145324363"/>
      <w:r>
        <w:rPr>
          <w:rFonts w:ascii="黑体" w:eastAsia="黑体" w:hAnsi="黑体" w:hint="eastAsia"/>
          <w:sz w:val="32"/>
          <w:szCs w:val="32"/>
        </w:rPr>
        <w:t>收</w:t>
      </w:r>
      <w:r>
        <w:rPr>
          <w:rStyle w:val="2Char"/>
          <w:rFonts w:ascii="黑体" w:eastAsia="黑体" w:hAnsi="黑体" w:hint="eastAsia"/>
          <w:b w:val="0"/>
        </w:rPr>
        <w:t>入支出决算总体情况说明</w:t>
      </w:r>
      <w:bookmarkEnd w:id="26"/>
      <w:bookmarkEnd w:id="27"/>
      <w:bookmarkEnd w:id="28"/>
    </w:p>
    <w:p w:rsidR="00C86173" w:rsidRDefault="00CC65C4">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年度收、支总计</w:t>
      </w:r>
      <w:r>
        <w:rPr>
          <w:rFonts w:ascii="仿宋_GB2312" w:eastAsia="仿宋_GB2312" w:hAnsi="仿宋" w:hint="eastAsia"/>
          <w:sz w:val="32"/>
          <w:szCs w:val="32"/>
        </w:rPr>
        <w:t>753.85</w:t>
      </w:r>
      <w:r>
        <w:rPr>
          <w:rFonts w:ascii="仿宋_GB2312" w:eastAsia="仿宋_GB2312" w:hAnsi="仿宋" w:hint="eastAsia"/>
          <w:sz w:val="32"/>
          <w:szCs w:val="32"/>
        </w:rPr>
        <w:t>万元。与</w:t>
      </w:r>
      <w:r>
        <w:rPr>
          <w:rFonts w:ascii="仿宋_GB2312" w:eastAsia="仿宋_GB2312" w:hAnsi="仿宋" w:hint="eastAsia"/>
          <w:sz w:val="32"/>
          <w:szCs w:val="32"/>
        </w:rPr>
        <w:t>2021</w:t>
      </w:r>
      <w:r>
        <w:rPr>
          <w:rFonts w:ascii="仿宋_GB2312" w:eastAsia="仿宋_GB2312" w:hAnsi="仿宋" w:hint="eastAsia"/>
          <w:sz w:val="32"/>
          <w:szCs w:val="32"/>
        </w:rPr>
        <w:t>年相比，收、</w:t>
      </w:r>
      <w:r>
        <w:rPr>
          <w:rFonts w:ascii="仿宋_GB2312" w:eastAsia="仿宋_GB2312" w:hAnsi="仿宋" w:hint="eastAsia"/>
          <w:sz w:val="32"/>
          <w:szCs w:val="32"/>
        </w:rPr>
        <w:lastRenderedPageBreak/>
        <w:t>支总计各增加</w:t>
      </w:r>
      <w:r>
        <w:rPr>
          <w:rFonts w:ascii="仿宋_GB2312" w:eastAsia="仿宋_GB2312" w:hAnsi="仿宋" w:hint="eastAsia"/>
          <w:sz w:val="32"/>
          <w:szCs w:val="32"/>
        </w:rPr>
        <w:t>71.9</w:t>
      </w:r>
      <w:r>
        <w:rPr>
          <w:rFonts w:ascii="仿宋_GB2312" w:eastAsia="仿宋_GB2312" w:hAnsi="仿宋" w:hint="eastAsia"/>
          <w:sz w:val="32"/>
          <w:szCs w:val="32"/>
        </w:rPr>
        <w:t>万元，增长</w:t>
      </w:r>
      <w:r>
        <w:rPr>
          <w:rFonts w:ascii="仿宋_GB2312" w:eastAsia="仿宋_GB2312" w:hAnsi="仿宋" w:hint="eastAsia"/>
          <w:sz w:val="32"/>
          <w:szCs w:val="32"/>
        </w:rPr>
        <w:t>10.54%</w:t>
      </w:r>
      <w:r>
        <w:rPr>
          <w:rFonts w:ascii="仿宋_GB2312" w:eastAsia="仿宋_GB2312" w:hAnsi="仿宋" w:hint="eastAsia"/>
          <w:sz w:val="32"/>
          <w:szCs w:val="32"/>
        </w:rPr>
        <w:t>。主要</w:t>
      </w:r>
      <w:r>
        <w:rPr>
          <w:rFonts w:ascii="仿宋_GB2312" w:eastAsia="仿宋_GB2312" w:hAnsi="仿宋" w:hint="eastAsia"/>
          <w:sz w:val="32"/>
          <w:szCs w:val="32"/>
        </w:rPr>
        <w:t>变动原因是</w:t>
      </w:r>
      <w:r>
        <w:rPr>
          <w:rFonts w:ascii="仿宋_GB2312" w:eastAsia="仿宋_GB2312" w:hAnsi="仿宋" w:hint="eastAsia"/>
          <w:sz w:val="32"/>
          <w:szCs w:val="32"/>
        </w:rPr>
        <w:t>2022</w:t>
      </w:r>
      <w:r>
        <w:rPr>
          <w:rFonts w:ascii="仿宋_GB2312" w:eastAsia="仿宋_GB2312" w:hAnsi="仿宋" w:hint="eastAsia"/>
          <w:sz w:val="32"/>
          <w:szCs w:val="32"/>
        </w:rPr>
        <w:t>年职工工资调增人员类支出增加，因单位工作开展需要新增教学大比武项目支出</w:t>
      </w:r>
      <w:r>
        <w:rPr>
          <w:rFonts w:ascii="仿宋_GB2312" w:eastAsia="仿宋_GB2312" w:hAnsi="仿宋" w:hint="eastAsia"/>
          <w:sz w:val="32"/>
          <w:szCs w:val="32"/>
        </w:rPr>
        <w:t>5.5</w:t>
      </w:r>
      <w:r>
        <w:rPr>
          <w:rFonts w:ascii="仿宋_GB2312" w:eastAsia="仿宋_GB2312" w:hAnsi="仿宋" w:hint="eastAsia"/>
          <w:sz w:val="32"/>
          <w:szCs w:val="32"/>
        </w:rPr>
        <w:t>万元，全市教学质量监测项目支出较上年增加</w:t>
      </w:r>
      <w:r>
        <w:rPr>
          <w:rFonts w:ascii="仿宋_GB2312" w:eastAsia="仿宋_GB2312" w:hAnsi="仿宋" w:hint="eastAsia"/>
          <w:sz w:val="32"/>
          <w:szCs w:val="32"/>
        </w:rPr>
        <w:t>30.84</w:t>
      </w:r>
      <w:r>
        <w:rPr>
          <w:rFonts w:ascii="仿宋_GB2312" w:eastAsia="仿宋_GB2312" w:hAnsi="仿宋" w:hint="eastAsia"/>
          <w:sz w:val="32"/>
          <w:szCs w:val="32"/>
        </w:rPr>
        <w:t>万元，乡村振兴工作经费项目支出较上年增加</w:t>
      </w:r>
      <w:r>
        <w:rPr>
          <w:rFonts w:ascii="仿宋_GB2312" w:eastAsia="仿宋_GB2312" w:hAnsi="仿宋" w:hint="eastAsia"/>
          <w:sz w:val="32"/>
          <w:szCs w:val="32"/>
        </w:rPr>
        <w:t>2.89</w:t>
      </w:r>
      <w:r>
        <w:rPr>
          <w:rFonts w:ascii="仿宋_GB2312" w:eastAsia="仿宋_GB2312" w:hAnsi="仿宋" w:hint="eastAsia"/>
          <w:sz w:val="32"/>
          <w:szCs w:val="32"/>
        </w:rPr>
        <w:t>万元。</w:t>
      </w:r>
    </w:p>
    <w:p w:rsidR="00C86173" w:rsidRDefault="00CC65C4">
      <w:pPr>
        <w:spacing w:line="600" w:lineRule="exact"/>
        <w:ind w:firstLineChars="200" w:firstLine="640"/>
      </w:pPr>
      <w:r>
        <w:rPr>
          <w:rFonts w:ascii="仿宋" w:eastAsia="仿宋" w:hAnsi="仿宋"/>
          <w:noProof/>
          <w:sz w:val="32"/>
          <w:szCs w:val="32"/>
        </w:rPr>
        <w:drawing>
          <wp:anchor distT="0" distB="0" distL="114300" distR="114300" simplePos="0" relativeHeight="251661312" behindDoc="0" locked="0" layoutInCell="1" allowOverlap="1">
            <wp:simplePos x="0" y="0"/>
            <wp:positionH relativeFrom="margin">
              <wp:posOffset>422910</wp:posOffset>
            </wp:positionH>
            <wp:positionV relativeFrom="margin">
              <wp:posOffset>2080260</wp:posOffset>
            </wp:positionV>
            <wp:extent cx="4235450" cy="2194560"/>
            <wp:effectExtent l="19050" t="0" r="12700" b="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Start w:id="29" w:name="_Toc15396604"/>
      <w:bookmarkStart w:id="30" w:name="_Toc145324364"/>
      <w:bookmarkStart w:id="31" w:name="_Toc15377206"/>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：收、支决算总计变动情况图）（柱状图）</w:t>
      </w:r>
    </w:p>
    <w:p w:rsidR="00C86173" w:rsidRDefault="00CC65C4">
      <w:pPr>
        <w:pStyle w:val="a9"/>
        <w:numPr>
          <w:ilvl w:val="0"/>
          <w:numId w:val="2"/>
        </w:numPr>
        <w:spacing w:line="600" w:lineRule="exact"/>
        <w:ind w:firstLineChars="0"/>
        <w:outlineLvl w:val="1"/>
        <w:rPr>
          <w:rStyle w:val="2Char"/>
          <w:rFonts w:ascii="黑体" w:eastAsia="黑体" w:hAnsi="黑体"/>
          <w:b w:val="0"/>
        </w:rPr>
      </w:pPr>
      <w:r>
        <w:rPr>
          <w:rFonts w:ascii="黑体" w:eastAsia="黑体" w:hAnsi="黑体" w:hint="eastAsia"/>
          <w:sz w:val="32"/>
          <w:szCs w:val="32"/>
        </w:rPr>
        <w:t>收</w:t>
      </w:r>
      <w:r>
        <w:rPr>
          <w:rStyle w:val="2Char"/>
          <w:rFonts w:ascii="黑体" w:eastAsia="黑体" w:hAnsi="黑体" w:hint="eastAsia"/>
          <w:b w:val="0"/>
        </w:rPr>
        <w:t>入决算情况说明</w:t>
      </w:r>
      <w:bookmarkEnd w:id="29"/>
      <w:bookmarkEnd w:id="30"/>
      <w:bookmarkEnd w:id="31"/>
    </w:p>
    <w:p w:rsidR="00C86173" w:rsidRDefault="00CC65C4">
      <w:pPr>
        <w:spacing w:line="600" w:lineRule="exact"/>
        <w:ind w:firstLineChars="200" w:firstLine="640"/>
        <w:outlineLvl w:val="1"/>
        <w:rPr>
          <w:rFonts w:ascii="仿宋_GB2312" w:eastAsia="仿宋_GB2312" w:hAnsi="仿宋"/>
          <w:b/>
          <w:sz w:val="32"/>
          <w:szCs w:val="32"/>
        </w:rPr>
      </w:pPr>
      <w:bookmarkStart w:id="32" w:name="_Toc145324365"/>
      <w:r>
        <w:rPr>
          <w:rFonts w:ascii="仿宋_GB2312" w:eastAsia="仿宋_GB2312" w:hAnsi="仿宋" w:hint="eastAsia"/>
          <w:sz w:val="32"/>
          <w:szCs w:val="32"/>
        </w:rPr>
        <w:t>2022</w:t>
      </w:r>
      <w:r>
        <w:rPr>
          <w:rFonts w:ascii="仿宋_GB2312" w:eastAsia="仿宋_GB2312" w:hAnsi="仿宋" w:hint="eastAsia"/>
          <w:sz w:val="32"/>
          <w:szCs w:val="32"/>
        </w:rPr>
        <w:t>年本年收入合计</w:t>
      </w:r>
      <w:r>
        <w:rPr>
          <w:rFonts w:ascii="仿宋_GB2312" w:eastAsia="仿宋_GB2312" w:hAnsi="仿宋" w:hint="eastAsia"/>
          <w:sz w:val="32"/>
          <w:szCs w:val="32"/>
        </w:rPr>
        <w:t>684.15</w:t>
      </w:r>
      <w:r>
        <w:rPr>
          <w:rFonts w:ascii="仿宋_GB2312" w:eastAsia="仿宋_GB2312" w:hAnsi="仿宋" w:hint="eastAsia"/>
          <w:sz w:val="32"/>
          <w:szCs w:val="32"/>
        </w:rPr>
        <w:t>万元，其中：一般公共预算财政拨款收入</w:t>
      </w:r>
      <w:r>
        <w:rPr>
          <w:rFonts w:ascii="仿宋_GB2312" w:eastAsia="仿宋_GB2312" w:hAnsi="仿宋" w:hint="eastAsia"/>
          <w:sz w:val="32"/>
          <w:szCs w:val="32"/>
        </w:rPr>
        <w:t>684.15</w:t>
      </w:r>
      <w:r>
        <w:rPr>
          <w:rFonts w:ascii="仿宋_GB2312" w:eastAsia="仿宋_GB2312" w:hAnsi="仿宋" w:hint="eastAsia"/>
          <w:sz w:val="32"/>
          <w:szCs w:val="32"/>
        </w:rPr>
        <w:t>万元，占</w:t>
      </w:r>
      <w:r>
        <w:rPr>
          <w:rFonts w:ascii="仿宋_GB2312" w:eastAsia="仿宋_GB2312" w:hAnsi="仿宋" w:hint="eastAsia"/>
          <w:sz w:val="32"/>
          <w:szCs w:val="32"/>
        </w:rPr>
        <w:t>100%</w:t>
      </w:r>
      <w:r>
        <w:rPr>
          <w:rFonts w:ascii="仿宋_GB2312" w:eastAsia="仿宋_GB2312" w:hAnsi="仿宋" w:hint="eastAsia"/>
          <w:sz w:val="32"/>
          <w:szCs w:val="32"/>
        </w:rPr>
        <w:t>。</w:t>
      </w:r>
      <w:bookmarkEnd w:id="32"/>
    </w:p>
    <w:p w:rsidR="00C86173" w:rsidRDefault="00CC65C4">
      <w:pPr>
        <w:spacing w:line="600" w:lineRule="exact"/>
        <w:ind w:firstLineChars="200" w:firstLine="640"/>
        <w:outlineLvl w:val="1"/>
        <w:rPr>
          <w:rFonts w:ascii="仿宋" w:eastAsia="仿宋" w:hAnsi="仿宋"/>
          <w:sz w:val="32"/>
          <w:szCs w:val="32"/>
        </w:rPr>
      </w:pPr>
      <w:r>
        <w:rPr>
          <w:rFonts w:ascii="仿宋" w:eastAsia="仿宋" w:hAnsi="仿宋"/>
          <w:noProof/>
          <w:sz w:val="32"/>
          <w:szCs w:val="32"/>
        </w:rPr>
        <w:drawing>
          <wp:anchor distT="0" distB="0" distL="114300" distR="114300" simplePos="0" relativeHeight="251662336" behindDoc="0" locked="0" layoutInCell="1" allowOverlap="1">
            <wp:simplePos x="0" y="0"/>
            <wp:positionH relativeFrom="column">
              <wp:posOffset>1123950</wp:posOffset>
            </wp:positionH>
            <wp:positionV relativeFrom="paragraph">
              <wp:posOffset>114300</wp:posOffset>
            </wp:positionV>
            <wp:extent cx="2967990" cy="2019300"/>
            <wp:effectExtent l="19050" t="0" r="3810" b="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11"/>
                    <a:srcRect/>
                    <a:stretch>
                      <a:fillRect/>
                    </a:stretch>
                  </pic:blipFill>
                  <pic:spPr>
                    <a:xfrm>
                      <a:off x="0" y="0"/>
                      <a:ext cx="2967990" cy="2019300"/>
                    </a:xfrm>
                    <a:prstGeom prst="rect">
                      <a:avLst/>
                    </a:prstGeom>
                    <a:noFill/>
                  </pic:spPr>
                </pic:pic>
              </a:graphicData>
            </a:graphic>
          </wp:anchor>
        </w:drawing>
      </w: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86173">
      <w:pPr>
        <w:spacing w:line="600" w:lineRule="exact"/>
        <w:ind w:firstLineChars="200" w:firstLine="640"/>
        <w:rPr>
          <w:rFonts w:ascii="仿宋" w:eastAsia="仿宋" w:hAnsi="仿宋"/>
          <w:sz w:val="32"/>
          <w:szCs w:val="32"/>
        </w:rPr>
      </w:pPr>
    </w:p>
    <w:p w:rsidR="00C86173" w:rsidRDefault="00CC65C4">
      <w:pPr>
        <w:keepNext/>
        <w:keepLines/>
        <w:spacing w:line="576" w:lineRule="exact"/>
        <w:jc w:val="center"/>
        <w:rPr>
          <w:rFonts w:ascii="仿宋" w:eastAsia="仿宋" w:hAnsi="仿宋"/>
          <w:sz w:val="32"/>
        </w:rPr>
      </w:pPr>
      <w:bookmarkStart w:id="33" w:name="_Toc15377207"/>
      <w:bookmarkStart w:id="34" w:name="_Toc145324366"/>
      <w:bookmarkStart w:id="35" w:name="_Toc15396605"/>
      <w:r>
        <w:rPr>
          <w:rFonts w:ascii="仿宋_GB2312" w:eastAsia="仿宋_GB2312" w:hAnsi="仿宋_GB2312" w:cs="仿宋_GB2312" w:hint="eastAsia"/>
          <w:sz w:val="32"/>
          <w:szCs w:val="32"/>
        </w:rPr>
        <w:t>（图</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：收入决算结构图）（饼状图）</w:t>
      </w:r>
    </w:p>
    <w:p w:rsidR="00C86173" w:rsidRDefault="00C86173">
      <w:pPr>
        <w:pStyle w:val="a9"/>
        <w:spacing w:line="600" w:lineRule="exact"/>
        <w:ind w:left="1360" w:firstLineChars="0" w:firstLine="0"/>
        <w:outlineLvl w:val="1"/>
        <w:rPr>
          <w:rFonts w:ascii="黑体" w:eastAsia="黑体" w:hAnsi="黑体" w:cstheme="majorBidi"/>
          <w:bCs/>
          <w:sz w:val="32"/>
          <w:szCs w:val="32"/>
        </w:rPr>
      </w:pPr>
    </w:p>
    <w:p w:rsidR="00C86173" w:rsidRDefault="00CC65C4">
      <w:pPr>
        <w:pStyle w:val="a9"/>
        <w:numPr>
          <w:ilvl w:val="0"/>
          <w:numId w:val="2"/>
        </w:numPr>
        <w:spacing w:line="600" w:lineRule="exact"/>
        <w:ind w:firstLineChars="0"/>
        <w:outlineLvl w:val="1"/>
        <w:rPr>
          <w:rStyle w:val="2Char"/>
          <w:rFonts w:ascii="黑体" w:eastAsia="黑体" w:hAnsi="黑体"/>
          <w:b w:val="0"/>
        </w:rPr>
      </w:pPr>
      <w:r>
        <w:rPr>
          <w:rFonts w:ascii="黑体" w:eastAsia="黑体" w:hAnsi="黑体" w:hint="eastAsia"/>
          <w:sz w:val="32"/>
          <w:szCs w:val="32"/>
        </w:rPr>
        <w:lastRenderedPageBreak/>
        <w:t>支</w:t>
      </w:r>
      <w:r>
        <w:rPr>
          <w:rStyle w:val="2Char"/>
          <w:rFonts w:ascii="黑体" w:eastAsia="黑体" w:hAnsi="黑体" w:hint="eastAsia"/>
          <w:b w:val="0"/>
        </w:rPr>
        <w:t>出决算情况说明</w:t>
      </w:r>
      <w:bookmarkEnd w:id="33"/>
      <w:bookmarkEnd w:id="34"/>
      <w:bookmarkEnd w:id="35"/>
    </w:p>
    <w:p w:rsidR="00C86173" w:rsidRDefault="00CC65C4">
      <w:pPr>
        <w:spacing w:line="600" w:lineRule="exact"/>
        <w:ind w:firstLineChars="200" w:firstLine="640"/>
        <w:outlineLvl w:val="1"/>
        <w:rPr>
          <w:rFonts w:ascii="仿宋_GB2312" w:eastAsia="仿宋_GB2312" w:hAnsi="仿宋"/>
          <w:sz w:val="32"/>
          <w:szCs w:val="32"/>
        </w:rPr>
      </w:pPr>
      <w:bookmarkStart w:id="36" w:name="_Toc145324367"/>
      <w:r>
        <w:rPr>
          <w:rFonts w:ascii="仿宋_GB2312" w:eastAsia="仿宋_GB2312" w:hAnsi="仿宋" w:hint="eastAsia"/>
          <w:sz w:val="32"/>
          <w:szCs w:val="32"/>
        </w:rPr>
        <w:t>2022</w:t>
      </w:r>
      <w:r>
        <w:rPr>
          <w:rFonts w:ascii="仿宋_GB2312" w:eastAsia="仿宋_GB2312" w:hAnsi="仿宋" w:hint="eastAsia"/>
          <w:sz w:val="32"/>
          <w:szCs w:val="32"/>
        </w:rPr>
        <w:t>年本年支出合计</w:t>
      </w:r>
      <w:r>
        <w:rPr>
          <w:rFonts w:ascii="仿宋_GB2312" w:eastAsia="仿宋_GB2312" w:hAnsi="仿宋" w:hint="eastAsia"/>
          <w:sz w:val="32"/>
          <w:szCs w:val="32"/>
        </w:rPr>
        <w:t>753.85</w:t>
      </w:r>
      <w:r>
        <w:rPr>
          <w:rFonts w:ascii="仿宋_GB2312" w:eastAsia="仿宋_GB2312" w:hAnsi="仿宋" w:hint="eastAsia"/>
          <w:sz w:val="32"/>
          <w:szCs w:val="32"/>
        </w:rPr>
        <w:t>万元，其中：基本支出</w:t>
      </w:r>
      <w:r>
        <w:rPr>
          <w:rFonts w:ascii="仿宋_GB2312" w:eastAsia="仿宋_GB2312" w:hAnsi="仿宋" w:hint="eastAsia"/>
          <w:sz w:val="32"/>
          <w:szCs w:val="32"/>
        </w:rPr>
        <w:t>582.51</w:t>
      </w:r>
      <w:r>
        <w:rPr>
          <w:rFonts w:ascii="仿宋_GB2312" w:eastAsia="仿宋_GB2312" w:hAnsi="仿宋" w:hint="eastAsia"/>
          <w:sz w:val="32"/>
          <w:szCs w:val="32"/>
        </w:rPr>
        <w:t>万元，占</w:t>
      </w:r>
      <w:r>
        <w:rPr>
          <w:rFonts w:ascii="仿宋_GB2312" w:eastAsia="仿宋_GB2312" w:hAnsi="仿宋" w:hint="eastAsia"/>
          <w:sz w:val="32"/>
          <w:szCs w:val="32"/>
        </w:rPr>
        <w:t>77.27%</w:t>
      </w:r>
      <w:r>
        <w:rPr>
          <w:rFonts w:ascii="仿宋_GB2312" w:eastAsia="仿宋_GB2312" w:hAnsi="仿宋" w:hint="eastAsia"/>
          <w:sz w:val="32"/>
          <w:szCs w:val="32"/>
        </w:rPr>
        <w:t>；项目支出</w:t>
      </w:r>
      <w:r>
        <w:rPr>
          <w:rFonts w:ascii="仿宋_GB2312" w:eastAsia="仿宋_GB2312" w:hAnsi="仿宋" w:hint="eastAsia"/>
          <w:sz w:val="32"/>
          <w:szCs w:val="32"/>
        </w:rPr>
        <w:t>171.34</w:t>
      </w:r>
      <w:r>
        <w:rPr>
          <w:rFonts w:ascii="仿宋_GB2312" w:eastAsia="仿宋_GB2312" w:hAnsi="仿宋" w:hint="eastAsia"/>
          <w:sz w:val="32"/>
          <w:szCs w:val="32"/>
        </w:rPr>
        <w:t>万元，占</w:t>
      </w:r>
      <w:r>
        <w:rPr>
          <w:rFonts w:ascii="仿宋_GB2312" w:eastAsia="仿宋_GB2312" w:hAnsi="仿宋" w:hint="eastAsia"/>
          <w:sz w:val="32"/>
          <w:szCs w:val="32"/>
        </w:rPr>
        <w:t>22.73%</w:t>
      </w:r>
      <w:r>
        <w:rPr>
          <w:rFonts w:ascii="仿宋_GB2312" w:eastAsia="仿宋_GB2312" w:hAnsi="仿宋" w:hint="eastAsia"/>
          <w:sz w:val="32"/>
          <w:szCs w:val="32"/>
        </w:rPr>
        <w:t>。</w:t>
      </w:r>
      <w:bookmarkEnd w:id="36"/>
    </w:p>
    <w:p w:rsidR="00C86173" w:rsidRDefault="00CC65C4">
      <w:pPr>
        <w:spacing w:line="600" w:lineRule="exact"/>
        <w:ind w:firstLineChars="200" w:firstLine="643"/>
        <w:outlineLvl w:val="1"/>
        <w:rPr>
          <w:rFonts w:ascii="仿宋" w:eastAsia="仿宋" w:hAnsi="仿宋"/>
          <w:b/>
          <w:sz w:val="32"/>
          <w:szCs w:val="32"/>
        </w:rPr>
      </w:pPr>
      <w:r>
        <w:rPr>
          <w:rFonts w:ascii="仿宋" w:eastAsia="仿宋" w:hAnsi="仿宋" w:hint="eastAsia"/>
          <w:b/>
          <w:noProof/>
          <w:sz w:val="32"/>
          <w:szCs w:val="32"/>
        </w:rPr>
        <w:drawing>
          <wp:anchor distT="0" distB="0" distL="114300" distR="114300" simplePos="0" relativeHeight="251663360" behindDoc="0" locked="0" layoutInCell="1" allowOverlap="1">
            <wp:simplePos x="0" y="0"/>
            <wp:positionH relativeFrom="column">
              <wp:posOffset>742950</wp:posOffset>
            </wp:positionH>
            <wp:positionV relativeFrom="paragraph">
              <wp:posOffset>196850</wp:posOffset>
            </wp:positionV>
            <wp:extent cx="3797300" cy="2393950"/>
            <wp:effectExtent l="19050" t="0" r="12700" b="6350"/>
            <wp:wrapNone/>
            <wp:docPr id="1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C86173" w:rsidRDefault="00C86173">
      <w:pPr>
        <w:spacing w:line="600" w:lineRule="exact"/>
        <w:ind w:firstLineChars="200" w:firstLine="643"/>
        <w:outlineLvl w:val="1"/>
        <w:rPr>
          <w:rFonts w:ascii="仿宋" w:eastAsia="仿宋" w:hAnsi="仿宋"/>
          <w:b/>
          <w:sz w:val="32"/>
          <w:szCs w:val="32"/>
        </w:rPr>
      </w:pPr>
    </w:p>
    <w:p w:rsidR="00C86173" w:rsidRDefault="00C86173">
      <w:pPr>
        <w:spacing w:line="600" w:lineRule="exact"/>
        <w:ind w:firstLineChars="200" w:firstLine="643"/>
        <w:outlineLvl w:val="1"/>
        <w:rPr>
          <w:rFonts w:ascii="仿宋" w:eastAsia="仿宋" w:hAnsi="仿宋"/>
          <w:b/>
          <w:sz w:val="32"/>
          <w:szCs w:val="32"/>
        </w:rPr>
      </w:pPr>
    </w:p>
    <w:p w:rsidR="00C86173" w:rsidRDefault="00C86173">
      <w:pPr>
        <w:spacing w:line="600" w:lineRule="exact"/>
        <w:ind w:firstLineChars="200" w:firstLine="643"/>
        <w:outlineLvl w:val="1"/>
        <w:rPr>
          <w:rFonts w:ascii="仿宋" w:eastAsia="仿宋" w:hAnsi="仿宋"/>
          <w:b/>
          <w:sz w:val="32"/>
          <w:szCs w:val="32"/>
        </w:rPr>
      </w:pPr>
    </w:p>
    <w:p w:rsidR="00C86173" w:rsidRDefault="00C86173">
      <w:pPr>
        <w:spacing w:line="600" w:lineRule="exact"/>
        <w:ind w:firstLineChars="200" w:firstLine="643"/>
        <w:outlineLvl w:val="1"/>
        <w:rPr>
          <w:rFonts w:ascii="仿宋" w:eastAsia="仿宋" w:hAnsi="仿宋"/>
          <w:b/>
          <w:sz w:val="32"/>
          <w:szCs w:val="32"/>
        </w:rPr>
      </w:pPr>
    </w:p>
    <w:p w:rsidR="00C86173" w:rsidRDefault="00C86173">
      <w:pPr>
        <w:spacing w:line="600" w:lineRule="exact"/>
        <w:ind w:firstLineChars="200" w:firstLine="643"/>
        <w:outlineLvl w:val="1"/>
        <w:rPr>
          <w:rFonts w:ascii="仿宋" w:eastAsia="仿宋" w:hAnsi="仿宋"/>
          <w:b/>
          <w:sz w:val="32"/>
          <w:szCs w:val="32"/>
        </w:rPr>
      </w:pPr>
    </w:p>
    <w:p w:rsidR="00C86173" w:rsidRDefault="00C86173">
      <w:pPr>
        <w:spacing w:line="600" w:lineRule="exact"/>
        <w:ind w:firstLine="640"/>
        <w:rPr>
          <w:rFonts w:ascii="仿宋" w:eastAsia="仿宋" w:hAnsi="仿宋"/>
          <w:sz w:val="32"/>
          <w:szCs w:val="32"/>
          <w:shd w:val="pct10" w:color="auto" w:fill="FFFFFF"/>
        </w:rPr>
      </w:pPr>
    </w:p>
    <w:p w:rsidR="00C86173" w:rsidRDefault="00CC65C4">
      <w:pPr>
        <w:keepNext/>
        <w:keepLines/>
        <w:spacing w:line="576" w:lineRule="exact"/>
        <w:jc w:val="center"/>
        <w:rPr>
          <w:rFonts w:ascii="黑体" w:eastAsia="黑体" w:hAnsi="黑体"/>
          <w:sz w:val="32"/>
          <w:szCs w:val="32"/>
        </w:rPr>
      </w:pPr>
      <w:r>
        <w:rPr>
          <w:rFonts w:ascii="仿宋" w:eastAsia="仿宋" w:hAnsi="仿宋" w:hint="eastAsia"/>
          <w:sz w:val="32"/>
          <w:szCs w:val="32"/>
        </w:rPr>
        <w:t>(</w:t>
      </w:r>
      <w:r>
        <w:rPr>
          <w:rFonts w:ascii="仿宋" w:eastAsia="仿宋" w:hAnsi="仿宋" w:hint="eastAsia"/>
          <w:sz w:val="32"/>
          <w:szCs w:val="32"/>
        </w:rPr>
        <w:t>图</w:t>
      </w:r>
      <w:r>
        <w:rPr>
          <w:rFonts w:ascii="仿宋" w:eastAsia="仿宋" w:hAnsi="仿宋" w:hint="eastAsia"/>
          <w:sz w:val="32"/>
          <w:szCs w:val="32"/>
        </w:rPr>
        <w:t>3</w:t>
      </w:r>
      <w:r>
        <w:rPr>
          <w:rFonts w:ascii="仿宋" w:eastAsia="仿宋" w:hAnsi="仿宋" w:hint="eastAsia"/>
          <w:sz w:val="32"/>
          <w:szCs w:val="32"/>
        </w:rPr>
        <w:t>：支出决算结构图</w:t>
      </w:r>
      <w:r>
        <w:rPr>
          <w:rFonts w:ascii="仿宋" w:eastAsia="仿宋" w:hAnsi="仿宋" w:hint="eastAsia"/>
          <w:sz w:val="32"/>
          <w:szCs w:val="32"/>
        </w:rPr>
        <w:t>)</w:t>
      </w:r>
      <w:r>
        <w:rPr>
          <w:rFonts w:ascii="仿宋_GB2312" w:eastAsia="仿宋_GB2312" w:hAnsi="仿宋_GB2312" w:cs="仿宋_GB2312" w:hint="eastAsia"/>
          <w:sz w:val="32"/>
          <w:szCs w:val="32"/>
        </w:rPr>
        <w:t>（饼状图）</w:t>
      </w:r>
      <w:bookmarkStart w:id="37" w:name="_Toc15396606"/>
      <w:bookmarkStart w:id="38" w:name="_Toc15377208"/>
    </w:p>
    <w:p w:rsidR="00C86173" w:rsidRDefault="00CC65C4">
      <w:pPr>
        <w:spacing w:line="600" w:lineRule="exact"/>
        <w:ind w:firstLineChars="200" w:firstLine="640"/>
        <w:outlineLvl w:val="1"/>
        <w:rPr>
          <w:rStyle w:val="2Char"/>
          <w:rFonts w:ascii="黑体" w:eastAsia="黑体" w:hAnsi="黑体"/>
          <w:b w:val="0"/>
        </w:rPr>
      </w:pPr>
      <w:bookmarkStart w:id="39" w:name="_Toc145324368"/>
      <w:r>
        <w:rPr>
          <w:rFonts w:ascii="黑体" w:eastAsia="黑体" w:hAnsi="黑体" w:hint="eastAsia"/>
          <w:sz w:val="32"/>
          <w:szCs w:val="32"/>
        </w:rPr>
        <w:t>四、财</w:t>
      </w:r>
      <w:r>
        <w:rPr>
          <w:rStyle w:val="2Char"/>
          <w:rFonts w:ascii="黑体" w:eastAsia="黑体" w:hAnsi="黑体" w:hint="eastAsia"/>
          <w:b w:val="0"/>
        </w:rPr>
        <w:t>政拨款收入支出决算总体情况说明</w:t>
      </w:r>
      <w:bookmarkEnd w:id="37"/>
      <w:bookmarkEnd w:id="38"/>
      <w:bookmarkEnd w:id="39"/>
    </w:p>
    <w:p w:rsidR="00C86173" w:rsidRDefault="00CC65C4">
      <w:pPr>
        <w:spacing w:line="600" w:lineRule="exact"/>
        <w:ind w:firstLineChars="200" w:firstLine="640"/>
        <w:rPr>
          <w:rFonts w:ascii="仿宋_GB2312" w:eastAsia="仿宋_GB2312" w:hAnsi="仿宋"/>
          <w:sz w:val="32"/>
          <w:szCs w:val="32"/>
        </w:rPr>
      </w:pPr>
      <w:r>
        <w:rPr>
          <w:rFonts w:ascii="仿宋" w:eastAsia="仿宋" w:hAnsi="仿宋"/>
          <w:noProof/>
          <w:sz w:val="32"/>
          <w:szCs w:val="32"/>
        </w:rPr>
        <w:drawing>
          <wp:anchor distT="0" distB="0" distL="114300" distR="114300" simplePos="0" relativeHeight="251664384" behindDoc="0" locked="0" layoutInCell="1" allowOverlap="1">
            <wp:simplePos x="0" y="0"/>
            <wp:positionH relativeFrom="margin">
              <wp:posOffset>477520</wp:posOffset>
            </wp:positionH>
            <wp:positionV relativeFrom="margin">
              <wp:posOffset>6999605</wp:posOffset>
            </wp:positionV>
            <wp:extent cx="3879850" cy="1866900"/>
            <wp:effectExtent l="19050" t="0" r="25400" b="0"/>
            <wp:wrapSquare wrapText="bothSides"/>
            <wp:docPr id="1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_GB2312" w:eastAsia="仿宋_GB2312" w:hAnsi="仿宋" w:hint="eastAsia"/>
          <w:sz w:val="32"/>
          <w:szCs w:val="32"/>
        </w:rPr>
        <w:t>2022</w:t>
      </w:r>
      <w:r>
        <w:rPr>
          <w:rFonts w:ascii="仿宋_GB2312" w:eastAsia="仿宋_GB2312" w:hAnsi="仿宋" w:hint="eastAsia"/>
          <w:sz w:val="32"/>
          <w:szCs w:val="32"/>
        </w:rPr>
        <w:t>年财政拨款收、支总计</w:t>
      </w:r>
      <w:r>
        <w:rPr>
          <w:rFonts w:ascii="仿宋_GB2312" w:eastAsia="仿宋_GB2312" w:hAnsi="仿宋" w:hint="eastAsia"/>
          <w:sz w:val="32"/>
          <w:szCs w:val="32"/>
        </w:rPr>
        <w:t>753.85</w:t>
      </w:r>
      <w:r>
        <w:rPr>
          <w:rFonts w:ascii="仿宋_GB2312" w:eastAsia="仿宋_GB2312" w:hAnsi="仿宋" w:hint="eastAsia"/>
          <w:sz w:val="32"/>
          <w:szCs w:val="32"/>
        </w:rPr>
        <w:t>万元。与</w:t>
      </w:r>
      <w:r>
        <w:rPr>
          <w:rFonts w:ascii="仿宋_GB2312" w:eastAsia="仿宋_GB2312" w:hAnsi="仿宋" w:hint="eastAsia"/>
          <w:sz w:val="32"/>
          <w:szCs w:val="32"/>
        </w:rPr>
        <w:t>2021</w:t>
      </w:r>
      <w:r>
        <w:rPr>
          <w:rFonts w:ascii="仿宋_GB2312" w:eastAsia="仿宋_GB2312" w:hAnsi="仿宋" w:hint="eastAsia"/>
          <w:sz w:val="32"/>
          <w:szCs w:val="32"/>
        </w:rPr>
        <w:t>年相比，财政拨款收、支总计各增加</w:t>
      </w:r>
      <w:r>
        <w:rPr>
          <w:rFonts w:ascii="仿宋_GB2312" w:eastAsia="仿宋_GB2312" w:hAnsi="仿宋" w:hint="eastAsia"/>
          <w:sz w:val="32"/>
          <w:szCs w:val="32"/>
        </w:rPr>
        <w:t>71.9</w:t>
      </w:r>
      <w:r>
        <w:rPr>
          <w:rFonts w:ascii="仿宋_GB2312" w:eastAsia="仿宋_GB2312" w:hAnsi="仿宋" w:hint="eastAsia"/>
          <w:sz w:val="32"/>
          <w:szCs w:val="32"/>
        </w:rPr>
        <w:t>万元，增长</w:t>
      </w:r>
      <w:r>
        <w:rPr>
          <w:rFonts w:ascii="仿宋_GB2312" w:eastAsia="仿宋_GB2312" w:hAnsi="仿宋" w:hint="eastAsia"/>
          <w:sz w:val="32"/>
          <w:szCs w:val="32"/>
        </w:rPr>
        <w:t>10.54%</w:t>
      </w:r>
      <w:r>
        <w:rPr>
          <w:rFonts w:ascii="仿宋_GB2312" w:eastAsia="仿宋_GB2312" w:hAnsi="仿宋" w:hint="eastAsia"/>
          <w:sz w:val="32"/>
          <w:szCs w:val="32"/>
        </w:rPr>
        <w:t>。主要变动原因是</w:t>
      </w:r>
      <w:r>
        <w:rPr>
          <w:rFonts w:ascii="仿宋_GB2312" w:eastAsia="仿宋_GB2312" w:hAnsi="仿宋" w:hint="eastAsia"/>
          <w:sz w:val="32"/>
          <w:szCs w:val="32"/>
        </w:rPr>
        <w:t>2022</w:t>
      </w:r>
      <w:r>
        <w:rPr>
          <w:rFonts w:ascii="仿宋_GB2312" w:eastAsia="仿宋_GB2312" w:hAnsi="仿宋" w:hint="eastAsia"/>
          <w:sz w:val="32"/>
          <w:szCs w:val="32"/>
        </w:rPr>
        <w:t>年职工工资调增人员类支出增加，因单位工作开展需要新增教学大比武项目支出</w:t>
      </w:r>
      <w:r>
        <w:rPr>
          <w:rFonts w:ascii="仿宋_GB2312" w:eastAsia="仿宋_GB2312" w:hAnsi="仿宋" w:hint="eastAsia"/>
          <w:sz w:val="32"/>
          <w:szCs w:val="32"/>
        </w:rPr>
        <w:t>5.5</w:t>
      </w:r>
      <w:r>
        <w:rPr>
          <w:rFonts w:ascii="仿宋_GB2312" w:eastAsia="仿宋_GB2312" w:hAnsi="仿宋" w:hint="eastAsia"/>
          <w:sz w:val="32"/>
          <w:szCs w:val="32"/>
        </w:rPr>
        <w:t>万元，全市教学质量监测项目支出较上年增加</w:t>
      </w:r>
      <w:r>
        <w:rPr>
          <w:rFonts w:ascii="仿宋_GB2312" w:eastAsia="仿宋_GB2312" w:hAnsi="仿宋" w:hint="eastAsia"/>
          <w:sz w:val="32"/>
          <w:szCs w:val="32"/>
        </w:rPr>
        <w:t>30.84</w:t>
      </w:r>
      <w:r>
        <w:rPr>
          <w:rFonts w:ascii="仿宋_GB2312" w:eastAsia="仿宋_GB2312" w:hAnsi="仿宋" w:hint="eastAsia"/>
          <w:sz w:val="32"/>
          <w:szCs w:val="32"/>
        </w:rPr>
        <w:t>万元，乡村振兴工作经</w:t>
      </w:r>
      <w:r>
        <w:rPr>
          <w:rFonts w:ascii="仿宋_GB2312" w:eastAsia="仿宋_GB2312" w:hAnsi="仿宋" w:hint="eastAsia"/>
          <w:sz w:val="32"/>
          <w:szCs w:val="32"/>
        </w:rPr>
        <w:t>费项目支出较上年增加</w:t>
      </w:r>
      <w:r>
        <w:rPr>
          <w:rFonts w:ascii="仿宋_GB2312" w:eastAsia="仿宋_GB2312" w:hAnsi="仿宋" w:hint="eastAsia"/>
          <w:sz w:val="32"/>
          <w:szCs w:val="32"/>
        </w:rPr>
        <w:t>2.89</w:t>
      </w:r>
      <w:r>
        <w:rPr>
          <w:rFonts w:ascii="仿宋_GB2312" w:eastAsia="仿宋_GB2312" w:hAnsi="仿宋" w:hint="eastAsia"/>
          <w:sz w:val="32"/>
          <w:szCs w:val="32"/>
        </w:rPr>
        <w:t>万元。</w:t>
      </w:r>
    </w:p>
    <w:p w:rsidR="00C86173" w:rsidRDefault="00C86173">
      <w:pPr>
        <w:spacing w:line="600" w:lineRule="exact"/>
        <w:rPr>
          <w:rFonts w:ascii="仿宋" w:eastAsia="仿宋" w:hAnsi="仿宋"/>
          <w:sz w:val="32"/>
          <w:szCs w:val="32"/>
        </w:rPr>
      </w:pP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rPr>
          <w:rFonts w:ascii="仿宋" w:eastAsia="仿宋" w:hAnsi="仿宋"/>
          <w:sz w:val="30"/>
          <w:szCs w:val="30"/>
        </w:rPr>
      </w:pPr>
    </w:p>
    <w:p w:rsidR="00C86173" w:rsidRDefault="00C86173">
      <w:pPr>
        <w:spacing w:line="600" w:lineRule="exact"/>
        <w:rPr>
          <w:rFonts w:ascii="仿宋" w:eastAsia="仿宋" w:hAnsi="仿宋"/>
          <w:sz w:val="30"/>
          <w:szCs w:val="30"/>
        </w:rPr>
      </w:pPr>
    </w:p>
    <w:p w:rsidR="00C86173" w:rsidRDefault="00C86173">
      <w:pPr>
        <w:spacing w:line="600" w:lineRule="exact"/>
        <w:rPr>
          <w:rFonts w:ascii="仿宋" w:eastAsia="仿宋" w:hAnsi="仿宋"/>
          <w:sz w:val="30"/>
          <w:szCs w:val="30"/>
        </w:rPr>
      </w:pPr>
    </w:p>
    <w:p w:rsidR="00C86173" w:rsidRDefault="00CC65C4">
      <w:pPr>
        <w:spacing w:line="600" w:lineRule="exact"/>
        <w:jc w:val="center"/>
        <w:rPr>
          <w:rFonts w:ascii="黑体" w:eastAsia="黑体" w:hAnsi="黑体"/>
          <w:sz w:val="32"/>
          <w:szCs w:val="32"/>
        </w:rPr>
      </w:pPr>
      <w:r>
        <w:rPr>
          <w:rFonts w:ascii="仿宋" w:eastAsia="仿宋" w:hAnsi="仿宋" w:hint="eastAsia"/>
          <w:sz w:val="30"/>
          <w:szCs w:val="30"/>
        </w:rPr>
        <w:lastRenderedPageBreak/>
        <w:t>(</w:t>
      </w:r>
      <w:r>
        <w:rPr>
          <w:rFonts w:ascii="仿宋" w:eastAsia="仿宋" w:hAnsi="仿宋" w:hint="eastAsia"/>
          <w:sz w:val="30"/>
          <w:szCs w:val="30"/>
        </w:rPr>
        <w:t>图</w:t>
      </w:r>
      <w:r>
        <w:rPr>
          <w:rFonts w:ascii="仿宋" w:eastAsia="仿宋" w:hAnsi="仿宋" w:hint="eastAsia"/>
          <w:sz w:val="30"/>
          <w:szCs w:val="30"/>
        </w:rPr>
        <w:t>4</w:t>
      </w:r>
      <w:r>
        <w:rPr>
          <w:rFonts w:ascii="仿宋" w:eastAsia="仿宋" w:hAnsi="仿宋" w:hint="eastAsia"/>
          <w:sz w:val="30"/>
          <w:szCs w:val="30"/>
        </w:rPr>
        <w:t>：财政拨款收、支决算总计变动情况</w:t>
      </w:r>
      <w:r>
        <w:rPr>
          <w:rFonts w:ascii="仿宋" w:eastAsia="仿宋" w:hAnsi="仿宋" w:hint="eastAsia"/>
          <w:sz w:val="30"/>
          <w:szCs w:val="30"/>
        </w:rPr>
        <w:t xml:space="preserve">) </w:t>
      </w:r>
      <w:r>
        <w:rPr>
          <w:rFonts w:ascii="仿宋" w:eastAsia="仿宋" w:hAnsi="仿宋" w:hint="eastAsia"/>
          <w:sz w:val="30"/>
          <w:szCs w:val="30"/>
        </w:rPr>
        <w:t>（柱状图）</w:t>
      </w:r>
      <w:bookmarkStart w:id="40" w:name="_Toc15377209"/>
      <w:bookmarkStart w:id="41" w:name="_Toc15396607"/>
      <w:bookmarkStart w:id="42" w:name="_Toc145324369"/>
    </w:p>
    <w:p w:rsidR="00C86173" w:rsidRDefault="00CC65C4">
      <w:pPr>
        <w:spacing w:line="600" w:lineRule="exact"/>
        <w:ind w:firstLineChars="200" w:firstLine="640"/>
        <w:outlineLvl w:val="1"/>
        <w:rPr>
          <w:rStyle w:val="2Char"/>
          <w:rFonts w:ascii="黑体" w:eastAsia="黑体" w:hAnsi="黑体"/>
          <w:b w:val="0"/>
        </w:rPr>
      </w:pPr>
      <w:r>
        <w:rPr>
          <w:rFonts w:ascii="黑体" w:eastAsia="黑体" w:hAnsi="黑体" w:hint="eastAsia"/>
          <w:sz w:val="32"/>
          <w:szCs w:val="32"/>
        </w:rPr>
        <w:t>五、</w:t>
      </w:r>
      <w:r>
        <w:rPr>
          <w:rFonts w:ascii="黑体" w:eastAsia="黑体" w:hAnsi="黑体" w:hint="eastAsia"/>
          <w:b/>
          <w:sz w:val="32"/>
          <w:szCs w:val="32"/>
        </w:rPr>
        <w:t>一</w:t>
      </w:r>
      <w:r>
        <w:rPr>
          <w:rStyle w:val="2Char"/>
          <w:rFonts w:ascii="黑体" w:eastAsia="黑体" w:hAnsi="黑体" w:hint="eastAsia"/>
          <w:b w:val="0"/>
        </w:rPr>
        <w:t>般公共预算财政拨款支出决算情况说明</w:t>
      </w:r>
      <w:bookmarkEnd w:id="40"/>
      <w:bookmarkEnd w:id="41"/>
      <w:bookmarkEnd w:id="42"/>
    </w:p>
    <w:p w:rsidR="00C86173" w:rsidRDefault="00CC65C4">
      <w:pPr>
        <w:spacing w:line="600" w:lineRule="exact"/>
        <w:ind w:firstLineChars="200" w:firstLine="643"/>
        <w:outlineLvl w:val="2"/>
        <w:rPr>
          <w:rFonts w:ascii="仿宋_GB2312" w:eastAsia="仿宋_GB2312" w:hAnsi="仿宋"/>
          <w:b/>
          <w:sz w:val="32"/>
          <w:szCs w:val="32"/>
        </w:rPr>
      </w:pPr>
      <w:bookmarkStart w:id="43" w:name="_Toc145324370"/>
      <w:bookmarkStart w:id="44" w:name="_Toc15377210"/>
      <w:r>
        <w:rPr>
          <w:rFonts w:ascii="仿宋_GB2312" w:eastAsia="仿宋_GB2312" w:hAnsi="仿宋" w:hint="eastAsia"/>
          <w:b/>
          <w:sz w:val="32"/>
          <w:szCs w:val="32"/>
        </w:rPr>
        <w:t>（一）一般公共预算财政拨款支出决算总体情况</w:t>
      </w:r>
      <w:bookmarkEnd w:id="43"/>
      <w:bookmarkEnd w:id="44"/>
    </w:p>
    <w:p w:rsidR="00C86173" w:rsidRDefault="00CC65C4">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年一般公共预算财政拨款支出</w:t>
      </w:r>
      <w:r>
        <w:rPr>
          <w:rFonts w:ascii="仿宋_GB2312" w:eastAsia="仿宋_GB2312" w:hAnsi="仿宋" w:hint="eastAsia"/>
          <w:sz w:val="32"/>
          <w:szCs w:val="32"/>
        </w:rPr>
        <w:t>753.85</w:t>
      </w:r>
      <w:r>
        <w:rPr>
          <w:rFonts w:ascii="仿宋_GB2312" w:eastAsia="仿宋_GB2312" w:hAnsi="仿宋" w:hint="eastAsia"/>
          <w:sz w:val="32"/>
          <w:szCs w:val="32"/>
        </w:rPr>
        <w:t>万元，占本年支出合计的</w:t>
      </w:r>
      <w:r>
        <w:rPr>
          <w:rFonts w:ascii="仿宋_GB2312" w:eastAsia="仿宋_GB2312" w:hAnsi="仿宋" w:hint="eastAsia"/>
          <w:sz w:val="32"/>
          <w:szCs w:val="32"/>
        </w:rPr>
        <w:t>100%</w:t>
      </w:r>
      <w:r>
        <w:rPr>
          <w:rFonts w:ascii="仿宋_GB2312" w:eastAsia="仿宋_GB2312" w:hAnsi="仿宋" w:hint="eastAsia"/>
          <w:sz w:val="32"/>
          <w:szCs w:val="32"/>
        </w:rPr>
        <w:t>。与</w:t>
      </w:r>
      <w:r>
        <w:rPr>
          <w:rFonts w:ascii="仿宋_GB2312" w:eastAsia="仿宋_GB2312" w:hAnsi="仿宋" w:hint="eastAsia"/>
          <w:sz w:val="32"/>
          <w:szCs w:val="32"/>
        </w:rPr>
        <w:t>2021</w:t>
      </w:r>
      <w:r>
        <w:rPr>
          <w:rFonts w:ascii="仿宋_GB2312" w:eastAsia="仿宋_GB2312" w:hAnsi="仿宋" w:hint="eastAsia"/>
          <w:sz w:val="32"/>
          <w:szCs w:val="32"/>
        </w:rPr>
        <w:t>年相比，一般公共预算财政拨款支出增加</w:t>
      </w:r>
      <w:r>
        <w:rPr>
          <w:rFonts w:ascii="仿宋_GB2312" w:eastAsia="仿宋_GB2312" w:hAnsi="仿宋" w:hint="eastAsia"/>
          <w:sz w:val="32"/>
          <w:szCs w:val="32"/>
        </w:rPr>
        <w:t>141.6</w:t>
      </w:r>
      <w:r>
        <w:rPr>
          <w:rFonts w:ascii="仿宋_GB2312" w:eastAsia="仿宋_GB2312" w:hAnsi="仿宋" w:hint="eastAsia"/>
          <w:sz w:val="32"/>
          <w:szCs w:val="32"/>
        </w:rPr>
        <w:t>万元，增长</w:t>
      </w:r>
      <w:r>
        <w:rPr>
          <w:rFonts w:ascii="仿宋_GB2312" w:eastAsia="仿宋_GB2312" w:hAnsi="仿宋" w:hint="eastAsia"/>
          <w:sz w:val="32"/>
          <w:szCs w:val="32"/>
        </w:rPr>
        <w:t>23.13%</w:t>
      </w:r>
      <w:r>
        <w:rPr>
          <w:rFonts w:ascii="仿宋_GB2312" w:eastAsia="仿宋_GB2312" w:hAnsi="仿宋" w:hint="eastAsia"/>
          <w:sz w:val="32"/>
          <w:szCs w:val="32"/>
        </w:rPr>
        <w:t>。主要变动原因是</w:t>
      </w:r>
      <w:r>
        <w:rPr>
          <w:rFonts w:ascii="仿宋_GB2312" w:eastAsia="仿宋_GB2312" w:hAnsi="仿宋" w:hint="eastAsia"/>
          <w:sz w:val="32"/>
          <w:szCs w:val="32"/>
        </w:rPr>
        <w:t>2022</w:t>
      </w:r>
      <w:r>
        <w:rPr>
          <w:rFonts w:ascii="仿宋_GB2312" w:eastAsia="仿宋_GB2312" w:hAnsi="仿宋" w:hint="eastAsia"/>
          <w:sz w:val="32"/>
          <w:szCs w:val="32"/>
        </w:rPr>
        <w:t>年职工工资调增导致人员类支出增加，其次为确保单位工作顺利开展新增教学大比武项目支出</w:t>
      </w:r>
      <w:r>
        <w:rPr>
          <w:rFonts w:ascii="仿宋_GB2312" w:eastAsia="仿宋_GB2312" w:hAnsi="仿宋" w:hint="eastAsia"/>
          <w:sz w:val="32"/>
          <w:szCs w:val="32"/>
        </w:rPr>
        <w:t>5.5</w:t>
      </w:r>
      <w:r>
        <w:rPr>
          <w:rFonts w:ascii="仿宋_GB2312" w:eastAsia="仿宋_GB2312" w:hAnsi="仿宋" w:hint="eastAsia"/>
          <w:sz w:val="32"/>
          <w:szCs w:val="32"/>
        </w:rPr>
        <w:t>万元，全市教学质量监测项目支出较上年增加</w:t>
      </w:r>
      <w:r>
        <w:rPr>
          <w:rFonts w:ascii="仿宋_GB2312" w:eastAsia="仿宋_GB2312" w:hAnsi="仿宋" w:hint="eastAsia"/>
          <w:sz w:val="32"/>
          <w:szCs w:val="32"/>
        </w:rPr>
        <w:t>30.84</w:t>
      </w:r>
      <w:r>
        <w:rPr>
          <w:rFonts w:ascii="仿宋_GB2312" w:eastAsia="仿宋_GB2312" w:hAnsi="仿宋" w:hint="eastAsia"/>
          <w:sz w:val="32"/>
          <w:szCs w:val="32"/>
        </w:rPr>
        <w:t>万元，乡村振兴工作经费项目支出较上年增加</w:t>
      </w:r>
      <w:r>
        <w:rPr>
          <w:rFonts w:ascii="仿宋_GB2312" w:eastAsia="仿宋_GB2312" w:hAnsi="仿宋" w:hint="eastAsia"/>
          <w:sz w:val="32"/>
          <w:szCs w:val="32"/>
        </w:rPr>
        <w:t>2.89</w:t>
      </w:r>
      <w:r>
        <w:rPr>
          <w:rFonts w:ascii="仿宋_GB2312" w:eastAsia="仿宋_GB2312" w:hAnsi="仿宋" w:hint="eastAsia"/>
          <w:sz w:val="32"/>
          <w:szCs w:val="32"/>
        </w:rPr>
        <w:t>万元。</w:t>
      </w:r>
    </w:p>
    <w:p w:rsidR="00C86173" w:rsidRDefault="00CC65C4">
      <w:pPr>
        <w:spacing w:line="600" w:lineRule="exact"/>
        <w:ind w:firstLineChars="200" w:firstLine="640"/>
        <w:rPr>
          <w:rFonts w:ascii="仿宋" w:eastAsia="仿宋" w:hAnsi="仿宋"/>
          <w:sz w:val="32"/>
          <w:szCs w:val="32"/>
        </w:rPr>
      </w:pPr>
      <w:r>
        <w:rPr>
          <w:rFonts w:ascii="仿宋" w:eastAsia="仿宋" w:hAnsi="仿宋" w:hint="eastAsia"/>
          <w:noProof/>
          <w:sz w:val="32"/>
          <w:szCs w:val="32"/>
        </w:rPr>
        <w:drawing>
          <wp:anchor distT="0" distB="0" distL="114300" distR="114300" simplePos="0" relativeHeight="251660288" behindDoc="0" locked="0" layoutInCell="1" allowOverlap="1">
            <wp:simplePos x="0" y="0"/>
            <wp:positionH relativeFrom="column">
              <wp:posOffset>560070</wp:posOffset>
            </wp:positionH>
            <wp:positionV relativeFrom="paragraph">
              <wp:posOffset>144780</wp:posOffset>
            </wp:positionV>
            <wp:extent cx="4182110" cy="2065020"/>
            <wp:effectExtent l="19050" t="0" r="27940" b="0"/>
            <wp:wrapNone/>
            <wp:docPr id="12"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ind w:firstLineChars="200" w:firstLine="640"/>
        <w:jc w:val="center"/>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C65C4">
      <w:pPr>
        <w:spacing w:line="600" w:lineRule="exact"/>
        <w:jc w:val="center"/>
        <w:rPr>
          <w:rFonts w:ascii="仿宋" w:eastAsia="仿宋" w:hAnsi="仿宋"/>
          <w:sz w:val="30"/>
          <w:szCs w:val="30"/>
        </w:rPr>
      </w:pPr>
      <w:r>
        <w:rPr>
          <w:rFonts w:ascii="仿宋" w:eastAsia="仿宋" w:hAnsi="仿宋" w:hint="eastAsia"/>
          <w:sz w:val="30"/>
          <w:szCs w:val="30"/>
        </w:rPr>
        <w:t>(</w:t>
      </w:r>
      <w:r>
        <w:rPr>
          <w:rFonts w:ascii="仿宋" w:eastAsia="仿宋" w:hAnsi="仿宋" w:hint="eastAsia"/>
          <w:sz w:val="30"/>
          <w:szCs w:val="30"/>
        </w:rPr>
        <w:t>图</w:t>
      </w:r>
      <w:r>
        <w:rPr>
          <w:rFonts w:ascii="仿宋" w:eastAsia="仿宋" w:hAnsi="仿宋" w:hint="eastAsia"/>
          <w:sz w:val="30"/>
          <w:szCs w:val="30"/>
        </w:rPr>
        <w:t>5</w:t>
      </w:r>
      <w:r>
        <w:rPr>
          <w:rFonts w:ascii="仿宋" w:eastAsia="仿宋" w:hAnsi="仿宋" w:hint="eastAsia"/>
          <w:sz w:val="30"/>
          <w:szCs w:val="30"/>
        </w:rPr>
        <w:t>：一般公共预算财政拨款支出决算变动情况</w:t>
      </w:r>
      <w:r>
        <w:rPr>
          <w:rFonts w:ascii="仿宋" w:eastAsia="仿宋" w:hAnsi="仿宋" w:hint="eastAsia"/>
          <w:sz w:val="30"/>
          <w:szCs w:val="30"/>
        </w:rPr>
        <w:t>)</w:t>
      </w:r>
      <w:r>
        <w:rPr>
          <w:rFonts w:ascii="仿宋" w:eastAsia="仿宋" w:hAnsi="仿宋" w:hint="eastAsia"/>
          <w:sz w:val="30"/>
          <w:szCs w:val="30"/>
        </w:rPr>
        <w:t>（柱状图）</w:t>
      </w:r>
    </w:p>
    <w:p w:rsidR="00C86173" w:rsidRDefault="00CC65C4">
      <w:pPr>
        <w:spacing w:line="600" w:lineRule="exact"/>
        <w:ind w:firstLineChars="200" w:firstLine="643"/>
        <w:outlineLvl w:val="2"/>
        <w:rPr>
          <w:rFonts w:ascii="仿宋_GB2312" w:eastAsia="仿宋_GB2312" w:hAnsi="仿宋"/>
          <w:b/>
          <w:sz w:val="32"/>
          <w:szCs w:val="32"/>
        </w:rPr>
      </w:pPr>
      <w:bookmarkStart w:id="45" w:name="_Toc15377211"/>
      <w:bookmarkStart w:id="46" w:name="_Toc145324371"/>
      <w:r>
        <w:rPr>
          <w:rFonts w:ascii="仿宋_GB2312" w:eastAsia="仿宋_GB2312" w:hAnsi="仿宋" w:hint="eastAsia"/>
          <w:b/>
          <w:sz w:val="32"/>
          <w:szCs w:val="32"/>
        </w:rPr>
        <w:t>（二）一般公共预算财政拨款支出决算结构情况</w:t>
      </w:r>
      <w:bookmarkEnd w:id="45"/>
      <w:bookmarkEnd w:id="46"/>
    </w:p>
    <w:p w:rsidR="00C86173" w:rsidRDefault="00CC65C4">
      <w:pPr>
        <w:spacing w:line="600" w:lineRule="exact"/>
        <w:ind w:firstLine="640"/>
        <w:rPr>
          <w:rFonts w:ascii="仿宋_GB2312" w:eastAsia="仿宋_GB2312" w:hAnsi="仿宋"/>
          <w:b/>
          <w:bCs/>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年一般公共预算财政拨款支出</w:t>
      </w:r>
      <w:r>
        <w:rPr>
          <w:rFonts w:ascii="仿宋_GB2312" w:eastAsia="仿宋_GB2312" w:hAnsi="仿宋" w:hint="eastAsia"/>
          <w:sz w:val="32"/>
          <w:szCs w:val="32"/>
        </w:rPr>
        <w:t>753.85</w:t>
      </w:r>
      <w:r>
        <w:rPr>
          <w:rFonts w:ascii="仿宋_GB2312" w:eastAsia="仿宋_GB2312" w:hAnsi="仿宋" w:hint="eastAsia"/>
          <w:sz w:val="32"/>
          <w:szCs w:val="32"/>
        </w:rPr>
        <w:t>万元，主要用于以下方面</w:t>
      </w:r>
      <w:r>
        <w:rPr>
          <w:rFonts w:ascii="仿宋_GB2312" w:eastAsia="仿宋_GB2312" w:hAnsi="仿宋" w:hint="eastAsia"/>
          <w:sz w:val="32"/>
          <w:szCs w:val="32"/>
        </w:rPr>
        <w:t>:</w:t>
      </w:r>
      <w:r>
        <w:rPr>
          <w:rFonts w:ascii="仿宋_GB2312" w:eastAsia="仿宋_GB2312" w:hAnsi="仿宋" w:hint="eastAsia"/>
          <w:b/>
          <w:sz w:val="32"/>
          <w:szCs w:val="32"/>
        </w:rPr>
        <w:t>教育支出</w:t>
      </w:r>
      <w:r>
        <w:rPr>
          <w:rFonts w:ascii="仿宋_GB2312" w:eastAsia="仿宋_GB2312" w:hAnsi="仿宋" w:hint="eastAsia"/>
          <w:sz w:val="32"/>
          <w:szCs w:val="32"/>
        </w:rPr>
        <w:t>422.02</w:t>
      </w:r>
      <w:r>
        <w:rPr>
          <w:rFonts w:ascii="仿宋_GB2312" w:eastAsia="仿宋_GB2312" w:hAnsi="仿宋" w:hint="eastAsia"/>
          <w:sz w:val="32"/>
          <w:szCs w:val="32"/>
        </w:rPr>
        <w:t>万元，占</w:t>
      </w:r>
      <w:r>
        <w:rPr>
          <w:rFonts w:ascii="仿宋_GB2312" w:eastAsia="仿宋_GB2312" w:hAnsi="仿宋" w:hint="eastAsia"/>
          <w:sz w:val="32"/>
          <w:szCs w:val="32"/>
        </w:rPr>
        <w:t>55.98%</w:t>
      </w:r>
      <w:r>
        <w:rPr>
          <w:rFonts w:ascii="仿宋_GB2312" w:eastAsia="仿宋_GB2312" w:hAnsi="仿宋" w:hint="eastAsia"/>
          <w:sz w:val="32"/>
          <w:szCs w:val="32"/>
        </w:rPr>
        <w:t>；</w:t>
      </w:r>
      <w:r>
        <w:rPr>
          <w:rFonts w:ascii="仿宋_GB2312" w:eastAsia="仿宋_GB2312" w:hAnsi="仿宋" w:hint="eastAsia"/>
          <w:b/>
          <w:sz w:val="32"/>
          <w:szCs w:val="32"/>
        </w:rPr>
        <w:t>社会保障和就业</w:t>
      </w:r>
      <w:r>
        <w:rPr>
          <w:rFonts w:ascii="仿宋_GB2312" w:eastAsia="仿宋_GB2312" w:hAnsi="仿宋" w:hint="eastAsia"/>
          <w:b/>
          <w:bCs/>
          <w:sz w:val="32"/>
          <w:szCs w:val="32"/>
        </w:rPr>
        <w:t>支出</w:t>
      </w:r>
      <w:r>
        <w:rPr>
          <w:rFonts w:ascii="仿宋_GB2312" w:eastAsia="仿宋_GB2312" w:hAnsi="仿宋" w:hint="eastAsia"/>
          <w:sz w:val="32"/>
          <w:szCs w:val="32"/>
        </w:rPr>
        <w:t>65.11</w:t>
      </w:r>
      <w:r>
        <w:rPr>
          <w:rFonts w:ascii="仿宋_GB2312" w:eastAsia="仿宋_GB2312" w:hAnsi="仿宋" w:hint="eastAsia"/>
          <w:sz w:val="32"/>
          <w:szCs w:val="32"/>
        </w:rPr>
        <w:t>万元，占</w:t>
      </w:r>
      <w:r>
        <w:rPr>
          <w:rFonts w:ascii="仿宋_GB2312" w:eastAsia="仿宋_GB2312" w:hAnsi="仿宋" w:hint="eastAsia"/>
          <w:sz w:val="32"/>
          <w:szCs w:val="32"/>
        </w:rPr>
        <w:t>8.64%</w:t>
      </w:r>
      <w:r>
        <w:rPr>
          <w:rFonts w:ascii="仿宋_GB2312" w:eastAsia="仿宋_GB2312" w:hAnsi="仿宋" w:hint="eastAsia"/>
          <w:sz w:val="32"/>
          <w:szCs w:val="32"/>
        </w:rPr>
        <w:t>；</w:t>
      </w:r>
      <w:r>
        <w:rPr>
          <w:rFonts w:ascii="仿宋_GB2312" w:eastAsia="仿宋_GB2312" w:hAnsi="仿宋" w:hint="eastAsia"/>
          <w:b/>
          <w:bCs/>
          <w:sz w:val="32"/>
          <w:szCs w:val="32"/>
        </w:rPr>
        <w:t>卫生健康支出</w:t>
      </w:r>
      <w:r>
        <w:rPr>
          <w:rFonts w:ascii="仿宋_GB2312" w:eastAsia="仿宋_GB2312" w:hAnsi="仿宋" w:hint="eastAsia"/>
          <w:sz w:val="32"/>
          <w:szCs w:val="32"/>
        </w:rPr>
        <w:t>18.19</w:t>
      </w:r>
      <w:r>
        <w:rPr>
          <w:rFonts w:ascii="仿宋_GB2312" w:eastAsia="仿宋_GB2312" w:hAnsi="仿宋" w:hint="eastAsia"/>
          <w:sz w:val="32"/>
          <w:szCs w:val="32"/>
        </w:rPr>
        <w:t>万元，占</w:t>
      </w:r>
      <w:r>
        <w:rPr>
          <w:rFonts w:ascii="仿宋_GB2312" w:eastAsia="仿宋_GB2312" w:hAnsi="仿宋" w:hint="eastAsia"/>
          <w:sz w:val="32"/>
          <w:szCs w:val="32"/>
        </w:rPr>
        <w:t>2.41%</w:t>
      </w:r>
      <w:r>
        <w:rPr>
          <w:rFonts w:ascii="仿宋_GB2312" w:eastAsia="仿宋_GB2312" w:hAnsi="仿宋" w:hint="eastAsia"/>
          <w:sz w:val="32"/>
          <w:szCs w:val="32"/>
        </w:rPr>
        <w:t>；</w:t>
      </w:r>
      <w:r>
        <w:rPr>
          <w:rFonts w:ascii="仿宋_GB2312" w:eastAsia="仿宋_GB2312" w:hAnsi="仿宋" w:hint="eastAsia"/>
          <w:b/>
          <w:bCs/>
          <w:sz w:val="32"/>
          <w:szCs w:val="32"/>
        </w:rPr>
        <w:t>住房保障支出</w:t>
      </w:r>
      <w:r>
        <w:rPr>
          <w:rFonts w:ascii="仿宋_GB2312" w:eastAsia="仿宋_GB2312" w:hAnsi="仿宋" w:hint="eastAsia"/>
          <w:sz w:val="32"/>
          <w:szCs w:val="32"/>
        </w:rPr>
        <w:t>56.03</w:t>
      </w:r>
      <w:r>
        <w:rPr>
          <w:rFonts w:ascii="仿宋_GB2312" w:eastAsia="仿宋_GB2312" w:hAnsi="仿宋" w:hint="eastAsia"/>
          <w:sz w:val="32"/>
          <w:szCs w:val="32"/>
        </w:rPr>
        <w:t>万元，占</w:t>
      </w:r>
      <w:r>
        <w:rPr>
          <w:rFonts w:ascii="仿宋_GB2312" w:eastAsia="仿宋_GB2312" w:hAnsi="仿宋" w:hint="eastAsia"/>
          <w:sz w:val="32"/>
          <w:szCs w:val="32"/>
        </w:rPr>
        <w:t>7.43%</w:t>
      </w:r>
      <w:r>
        <w:rPr>
          <w:rFonts w:ascii="仿宋_GB2312" w:eastAsia="仿宋_GB2312" w:hAnsi="仿宋" w:hint="eastAsia"/>
          <w:sz w:val="32"/>
          <w:szCs w:val="32"/>
        </w:rPr>
        <w:t>；</w:t>
      </w:r>
      <w:r>
        <w:rPr>
          <w:rFonts w:ascii="仿宋_GB2312" w:eastAsia="仿宋_GB2312" w:hAnsi="仿宋" w:hint="eastAsia"/>
          <w:b/>
          <w:bCs/>
          <w:sz w:val="32"/>
          <w:szCs w:val="32"/>
        </w:rPr>
        <w:t>其他支出</w:t>
      </w:r>
      <w:r>
        <w:rPr>
          <w:rFonts w:ascii="仿宋_GB2312" w:eastAsia="仿宋_GB2312" w:hAnsi="仿宋" w:hint="eastAsia"/>
          <w:b/>
          <w:bCs/>
          <w:sz w:val="32"/>
          <w:szCs w:val="32"/>
        </w:rPr>
        <w:t>192.50</w:t>
      </w:r>
      <w:r>
        <w:rPr>
          <w:rFonts w:ascii="仿宋_GB2312" w:eastAsia="仿宋_GB2312" w:hAnsi="仿宋" w:hint="eastAsia"/>
          <w:sz w:val="32"/>
          <w:szCs w:val="32"/>
        </w:rPr>
        <w:t>万元，占</w:t>
      </w:r>
      <w:r>
        <w:rPr>
          <w:rFonts w:ascii="仿宋_GB2312" w:eastAsia="仿宋_GB2312" w:hAnsi="仿宋" w:hint="eastAsia"/>
          <w:sz w:val="32"/>
          <w:szCs w:val="32"/>
        </w:rPr>
        <w:t>25.54%</w:t>
      </w:r>
      <w:r>
        <w:rPr>
          <w:rFonts w:ascii="仿宋_GB2312" w:eastAsia="仿宋_GB2312" w:hAnsi="仿宋" w:hint="eastAsia"/>
          <w:sz w:val="32"/>
          <w:szCs w:val="32"/>
        </w:rPr>
        <w:t>。</w:t>
      </w:r>
    </w:p>
    <w:p w:rsidR="00C86173" w:rsidRDefault="00CC65C4">
      <w:pPr>
        <w:spacing w:line="600" w:lineRule="exact"/>
        <w:ind w:firstLineChars="200" w:firstLine="643"/>
        <w:rPr>
          <w:rFonts w:ascii="仿宋" w:eastAsia="仿宋" w:hAnsi="仿宋"/>
          <w:sz w:val="32"/>
          <w:szCs w:val="32"/>
        </w:rPr>
      </w:pPr>
      <w:r>
        <w:rPr>
          <w:rFonts w:ascii="仿宋_GB2312" w:eastAsia="仿宋_GB2312" w:hAnsi="仿宋" w:hint="eastAsia"/>
          <w:b/>
          <w:bCs/>
          <w:noProof/>
          <w:sz w:val="32"/>
          <w:szCs w:val="32"/>
        </w:rPr>
        <w:lastRenderedPageBreak/>
        <w:drawing>
          <wp:anchor distT="0" distB="0" distL="114935" distR="114935" simplePos="0" relativeHeight="251665408" behindDoc="1" locked="0" layoutInCell="1" allowOverlap="1">
            <wp:simplePos x="0" y="0"/>
            <wp:positionH relativeFrom="margin">
              <wp:posOffset>508000</wp:posOffset>
            </wp:positionH>
            <wp:positionV relativeFrom="margin">
              <wp:posOffset>31115</wp:posOffset>
            </wp:positionV>
            <wp:extent cx="4210050" cy="2139950"/>
            <wp:effectExtent l="19050" t="0" r="19050" b="0"/>
            <wp:wrapTight wrapText="bothSides">
              <wp:wrapPolygon edited="0">
                <wp:start x="-23" y="-51"/>
                <wp:lineTo x="-23" y="21581"/>
                <wp:lineTo x="21577" y="21581"/>
                <wp:lineTo x="21577" y="-51"/>
                <wp:lineTo x="-23" y="-51"/>
              </wp:wrapPolygon>
            </wp:wrapTight>
            <wp:docPr id="13"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ind w:firstLineChars="200" w:firstLine="640"/>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C65C4">
      <w:pPr>
        <w:spacing w:line="600" w:lineRule="exact"/>
        <w:jc w:val="center"/>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图</w:t>
      </w:r>
      <w:r>
        <w:rPr>
          <w:rFonts w:ascii="仿宋" w:eastAsia="仿宋" w:hAnsi="仿宋" w:hint="eastAsia"/>
          <w:sz w:val="32"/>
          <w:szCs w:val="32"/>
        </w:rPr>
        <w:t>6</w:t>
      </w:r>
      <w:r>
        <w:rPr>
          <w:rFonts w:ascii="仿宋" w:eastAsia="仿宋" w:hAnsi="仿宋" w:hint="eastAsia"/>
          <w:sz w:val="32"/>
          <w:szCs w:val="32"/>
        </w:rPr>
        <w:t>：一般公共预算财政拨款支出决算结构</w:t>
      </w:r>
      <w:r>
        <w:rPr>
          <w:rFonts w:ascii="仿宋" w:eastAsia="仿宋" w:hAnsi="仿宋" w:hint="eastAsia"/>
          <w:sz w:val="32"/>
          <w:szCs w:val="32"/>
        </w:rPr>
        <w:t>)</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（饼状图）</w:t>
      </w:r>
    </w:p>
    <w:p w:rsidR="00C86173" w:rsidRDefault="00CC65C4">
      <w:pPr>
        <w:spacing w:line="600" w:lineRule="exact"/>
        <w:ind w:firstLineChars="200" w:firstLine="643"/>
        <w:outlineLvl w:val="2"/>
        <w:rPr>
          <w:rFonts w:ascii="仿宋_GB2312" w:eastAsia="仿宋_GB2312" w:hAnsi="仿宋"/>
          <w:b/>
          <w:sz w:val="32"/>
          <w:szCs w:val="32"/>
        </w:rPr>
      </w:pPr>
      <w:bookmarkStart w:id="47" w:name="_Toc15377212"/>
      <w:bookmarkStart w:id="48" w:name="_Toc145324372"/>
      <w:r>
        <w:rPr>
          <w:rFonts w:ascii="仿宋_GB2312" w:eastAsia="仿宋_GB2312" w:hAnsi="仿宋" w:hint="eastAsia"/>
          <w:b/>
          <w:sz w:val="32"/>
          <w:szCs w:val="32"/>
        </w:rPr>
        <w:t>（三）一般公共预算财政拨款支出决算具体情况</w:t>
      </w:r>
      <w:bookmarkEnd w:id="47"/>
      <w:bookmarkEnd w:id="48"/>
    </w:p>
    <w:p w:rsidR="00C86173" w:rsidRDefault="00CC65C4">
      <w:pPr>
        <w:spacing w:line="600" w:lineRule="exact"/>
        <w:ind w:firstLineChars="200" w:firstLine="643"/>
        <w:outlineLvl w:val="2"/>
        <w:rPr>
          <w:rFonts w:ascii="仿宋_GB2312" w:eastAsia="仿宋_GB2312" w:hAnsi="仿宋"/>
          <w:sz w:val="32"/>
          <w:szCs w:val="32"/>
        </w:rPr>
      </w:pPr>
      <w:bookmarkStart w:id="49" w:name="_Toc15378460"/>
      <w:bookmarkStart w:id="50" w:name="_Toc15377213"/>
      <w:bookmarkStart w:id="51" w:name="_Toc15377444"/>
      <w:bookmarkStart w:id="52" w:name="_Toc145324373"/>
      <w:r>
        <w:rPr>
          <w:rFonts w:ascii="仿宋_GB2312" w:eastAsia="仿宋_GB2312" w:hAnsi="仿宋" w:hint="eastAsia"/>
          <w:b/>
          <w:sz w:val="32"/>
          <w:szCs w:val="32"/>
        </w:rPr>
        <w:t>2022</w:t>
      </w:r>
      <w:r>
        <w:rPr>
          <w:rFonts w:ascii="仿宋_GB2312" w:eastAsia="仿宋_GB2312" w:hAnsi="仿宋" w:hint="eastAsia"/>
          <w:b/>
          <w:sz w:val="32"/>
          <w:szCs w:val="32"/>
        </w:rPr>
        <w:t>年一般公共预算支出决算数为</w:t>
      </w:r>
      <w:r>
        <w:rPr>
          <w:rFonts w:ascii="仿宋_GB2312" w:eastAsia="仿宋_GB2312" w:hAnsi="仿宋" w:hint="eastAsia"/>
          <w:sz w:val="32"/>
          <w:szCs w:val="32"/>
        </w:rPr>
        <w:t>753.85</w:t>
      </w:r>
      <w:r>
        <w:rPr>
          <w:rFonts w:ascii="仿宋_GB2312" w:eastAsia="仿宋_GB2312" w:hAnsi="仿宋" w:hint="eastAsia"/>
          <w:sz w:val="32"/>
          <w:szCs w:val="32"/>
        </w:rPr>
        <w:t>，</w:t>
      </w:r>
      <w:r>
        <w:rPr>
          <w:rStyle w:val="a7"/>
          <w:rFonts w:ascii="仿宋_GB2312" w:eastAsia="仿宋_GB2312" w:hAnsi="仿宋" w:hint="eastAsia"/>
          <w:bCs/>
          <w:sz w:val="32"/>
          <w:szCs w:val="32"/>
        </w:rPr>
        <w:t>完成预算</w:t>
      </w:r>
      <w:r>
        <w:rPr>
          <w:rStyle w:val="a7"/>
          <w:rFonts w:ascii="仿宋_GB2312" w:eastAsia="仿宋_GB2312" w:hAnsi="仿宋" w:hint="eastAsia"/>
          <w:bCs/>
          <w:sz w:val="32"/>
          <w:szCs w:val="32"/>
        </w:rPr>
        <w:t>100%</w:t>
      </w:r>
      <w:r>
        <w:rPr>
          <w:rStyle w:val="a7"/>
          <w:rFonts w:ascii="仿宋_GB2312" w:eastAsia="仿宋_GB2312" w:hAnsi="仿宋" w:hint="eastAsia"/>
          <w:bCs/>
          <w:sz w:val="32"/>
          <w:szCs w:val="32"/>
        </w:rPr>
        <w:t>。其中：</w:t>
      </w:r>
      <w:bookmarkEnd w:id="49"/>
      <w:bookmarkEnd w:id="50"/>
      <w:bookmarkEnd w:id="51"/>
      <w:bookmarkEnd w:id="52"/>
    </w:p>
    <w:p w:rsidR="00C86173" w:rsidRDefault="00CC65C4">
      <w:pPr>
        <w:spacing w:line="600" w:lineRule="exact"/>
        <w:ind w:firstLineChars="200" w:firstLine="643"/>
        <w:rPr>
          <w:rFonts w:ascii="仿宋_GB2312" w:eastAsia="仿宋_GB2312" w:hAnsi="仿宋"/>
          <w:b/>
          <w:sz w:val="32"/>
          <w:szCs w:val="32"/>
        </w:rPr>
      </w:pPr>
      <w:r>
        <w:rPr>
          <w:rStyle w:val="a7"/>
          <w:rFonts w:ascii="仿宋_GB2312" w:eastAsia="仿宋_GB2312" w:hAnsi="仿宋" w:hint="eastAsia"/>
          <w:bCs/>
          <w:sz w:val="32"/>
          <w:szCs w:val="32"/>
        </w:rPr>
        <w:t>1.</w:t>
      </w:r>
      <w:r>
        <w:rPr>
          <w:rStyle w:val="a7"/>
          <w:rFonts w:ascii="仿宋_GB2312" w:eastAsia="仿宋_GB2312" w:hAnsi="仿宋" w:hint="eastAsia"/>
          <w:bCs/>
          <w:sz w:val="32"/>
          <w:szCs w:val="32"/>
        </w:rPr>
        <w:t>教育（类）教育管理事务（款）</w:t>
      </w:r>
      <w:r>
        <w:rPr>
          <w:rStyle w:val="a7"/>
          <w:rFonts w:ascii="仿宋_GB2312" w:eastAsia="仿宋_GB2312" w:hAnsi="仿宋" w:hint="eastAsia"/>
          <w:bCs/>
          <w:sz w:val="32"/>
          <w:szCs w:val="32"/>
        </w:rPr>
        <w:t>其他教育管理事务支出（项）</w:t>
      </w:r>
      <w:r>
        <w:rPr>
          <w:rStyle w:val="a7"/>
          <w:rFonts w:ascii="仿宋_GB2312" w:eastAsia="仿宋_GB2312" w:hAnsi="仿宋" w:hint="eastAsia"/>
          <w:bCs/>
          <w:sz w:val="32"/>
          <w:szCs w:val="32"/>
        </w:rPr>
        <w:t>:</w:t>
      </w:r>
      <w:r>
        <w:rPr>
          <w:rStyle w:val="a7"/>
          <w:rFonts w:ascii="仿宋_GB2312" w:eastAsia="仿宋_GB2312" w:hAnsi="仿宋" w:hint="eastAsia"/>
          <w:b w:val="0"/>
          <w:bCs/>
          <w:sz w:val="32"/>
          <w:szCs w:val="32"/>
        </w:rPr>
        <w:t>支出决算为</w:t>
      </w:r>
      <w:r>
        <w:rPr>
          <w:rStyle w:val="a7"/>
          <w:rFonts w:ascii="仿宋_GB2312" w:eastAsia="仿宋_GB2312" w:hAnsi="仿宋" w:hint="eastAsia"/>
          <w:b w:val="0"/>
          <w:bCs/>
          <w:sz w:val="32"/>
          <w:szCs w:val="32"/>
        </w:rPr>
        <w:t>422.02</w:t>
      </w:r>
      <w:r>
        <w:rPr>
          <w:rStyle w:val="a7"/>
          <w:rFonts w:ascii="仿宋_GB2312" w:eastAsia="仿宋_GB2312" w:hAnsi="仿宋" w:hint="eastAsia"/>
          <w:b w:val="0"/>
          <w:bCs/>
          <w:sz w:val="32"/>
          <w:szCs w:val="32"/>
        </w:rPr>
        <w:t>万元，完成预算</w:t>
      </w:r>
      <w:r>
        <w:rPr>
          <w:rStyle w:val="a7"/>
          <w:rFonts w:ascii="仿宋_GB2312" w:eastAsia="仿宋_GB2312" w:hAnsi="仿宋" w:hint="eastAsia"/>
          <w:b w:val="0"/>
          <w:bCs/>
          <w:sz w:val="32"/>
          <w:szCs w:val="32"/>
        </w:rPr>
        <w:t>100%</w:t>
      </w:r>
      <w:r>
        <w:rPr>
          <w:rStyle w:val="a7"/>
          <w:rFonts w:ascii="仿宋_GB2312" w:eastAsia="仿宋_GB2312" w:hAnsi="仿宋" w:hint="eastAsia"/>
          <w:b w:val="0"/>
          <w:bCs/>
          <w:sz w:val="32"/>
          <w:szCs w:val="32"/>
        </w:rPr>
        <w:t>。</w:t>
      </w:r>
    </w:p>
    <w:p w:rsidR="00C86173" w:rsidRDefault="00CC65C4">
      <w:pPr>
        <w:spacing w:line="600" w:lineRule="exact"/>
        <w:ind w:firstLineChars="200" w:firstLine="643"/>
        <w:rPr>
          <w:rStyle w:val="a7"/>
          <w:rFonts w:ascii="仿宋_GB2312" w:eastAsia="仿宋_GB2312" w:hAnsi="仿宋"/>
          <w:b w:val="0"/>
          <w:bCs/>
          <w:sz w:val="32"/>
          <w:szCs w:val="32"/>
        </w:rPr>
      </w:pPr>
      <w:r>
        <w:rPr>
          <w:rStyle w:val="a7"/>
          <w:rFonts w:ascii="仿宋_GB2312" w:eastAsia="仿宋_GB2312" w:hAnsi="仿宋" w:hint="eastAsia"/>
          <w:bCs/>
          <w:sz w:val="32"/>
          <w:szCs w:val="32"/>
        </w:rPr>
        <w:t>2.</w:t>
      </w:r>
      <w:r>
        <w:rPr>
          <w:rStyle w:val="a7"/>
          <w:rFonts w:ascii="仿宋_GB2312" w:eastAsia="仿宋_GB2312" w:hAnsi="仿宋" w:hint="eastAsia"/>
          <w:bCs/>
          <w:sz w:val="32"/>
          <w:szCs w:val="32"/>
        </w:rPr>
        <w:t>社会保障和就业支出（类）行政事业单位养老支出（款）事业单位离退休（项）</w:t>
      </w:r>
      <w:r>
        <w:rPr>
          <w:rStyle w:val="a7"/>
          <w:rFonts w:ascii="仿宋_GB2312" w:eastAsia="仿宋_GB2312" w:hAnsi="仿宋" w:hint="eastAsia"/>
          <w:bCs/>
          <w:sz w:val="32"/>
          <w:szCs w:val="32"/>
        </w:rPr>
        <w:t xml:space="preserve">: </w:t>
      </w:r>
      <w:r>
        <w:rPr>
          <w:rStyle w:val="a7"/>
          <w:rFonts w:ascii="仿宋_GB2312" w:eastAsia="仿宋_GB2312" w:hAnsi="仿宋" w:hint="eastAsia"/>
          <w:b w:val="0"/>
          <w:bCs/>
          <w:sz w:val="32"/>
          <w:szCs w:val="32"/>
        </w:rPr>
        <w:t>支出决算为</w:t>
      </w:r>
      <w:r>
        <w:rPr>
          <w:rStyle w:val="a7"/>
          <w:rFonts w:ascii="仿宋_GB2312" w:eastAsia="仿宋_GB2312" w:hAnsi="仿宋" w:hint="eastAsia"/>
          <w:b w:val="0"/>
          <w:bCs/>
          <w:sz w:val="32"/>
          <w:szCs w:val="32"/>
        </w:rPr>
        <w:t>27.32</w:t>
      </w:r>
      <w:r>
        <w:rPr>
          <w:rStyle w:val="a7"/>
          <w:rFonts w:ascii="仿宋_GB2312" w:eastAsia="仿宋_GB2312" w:hAnsi="仿宋" w:hint="eastAsia"/>
          <w:b w:val="0"/>
          <w:bCs/>
          <w:sz w:val="32"/>
          <w:szCs w:val="32"/>
        </w:rPr>
        <w:t>万元，完成预算</w:t>
      </w:r>
      <w:r>
        <w:rPr>
          <w:rStyle w:val="a7"/>
          <w:rFonts w:ascii="仿宋_GB2312" w:eastAsia="仿宋_GB2312" w:hAnsi="仿宋" w:hint="eastAsia"/>
          <w:b w:val="0"/>
          <w:bCs/>
          <w:sz w:val="32"/>
          <w:szCs w:val="32"/>
        </w:rPr>
        <w:t>100%</w:t>
      </w:r>
      <w:r>
        <w:rPr>
          <w:rStyle w:val="a7"/>
          <w:rFonts w:ascii="仿宋_GB2312" w:eastAsia="仿宋_GB2312" w:hAnsi="仿宋" w:hint="eastAsia"/>
          <w:b w:val="0"/>
          <w:bCs/>
          <w:sz w:val="32"/>
          <w:szCs w:val="32"/>
        </w:rPr>
        <w:t>。</w:t>
      </w:r>
    </w:p>
    <w:p w:rsidR="00C86173" w:rsidRDefault="00CC65C4">
      <w:pPr>
        <w:spacing w:line="600" w:lineRule="exact"/>
        <w:ind w:firstLineChars="200" w:firstLine="643"/>
        <w:rPr>
          <w:rStyle w:val="a7"/>
          <w:rFonts w:ascii="仿宋_GB2312" w:eastAsia="仿宋_GB2312" w:hAnsi="仿宋"/>
          <w:b w:val="0"/>
          <w:bCs/>
          <w:sz w:val="32"/>
          <w:szCs w:val="32"/>
        </w:rPr>
      </w:pPr>
      <w:r>
        <w:rPr>
          <w:rStyle w:val="a7"/>
          <w:rFonts w:ascii="仿宋_GB2312" w:eastAsia="仿宋_GB2312" w:hAnsi="仿宋" w:hint="eastAsia"/>
          <w:bCs/>
          <w:sz w:val="32"/>
          <w:szCs w:val="32"/>
        </w:rPr>
        <w:t>3.</w:t>
      </w:r>
      <w:r>
        <w:rPr>
          <w:rStyle w:val="a7"/>
          <w:rFonts w:ascii="仿宋_GB2312" w:eastAsia="仿宋_GB2312" w:hAnsi="仿宋" w:hint="eastAsia"/>
          <w:bCs/>
          <w:sz w:val="32"/>
          <w:szCs w:val="32"/>
        </w:rPr>
        <w:t>社会保障和就业支出（类）行政事业单位养老支出（款）机关事业单位基本养老保险缴费支出（项）</w:t>
      </w:r>
      <w:r>
        <w:rPr>
          <w:rStyle w:val="a7"/>
          <w:rFonts w:ascii="仿宋_GB2312" w:eastAsia="仿宋_GB2312" w:hAnsi="仿宋" w:hint="eastAsia"/>
          <w:bCs/>
          <w:sz w:val="32"/>
          <w:szCs w:val="32"/>
        </w:rPr>
        <w:t xml:space="preserve">: </w:t>
      </w:r>
      <w:r>
        <w:rPr>
          <w:rStyle w:val="a7"/>
          <w:rFonts w:ascii="仿宋_GB2312" w:eastAsia="仿宋_GB2312" w:hAnsi="仿宋" w:hint="eastAsia"/>
          <w:b w:val="0"/>
          <w:bCs/>
          <w:sz w:val="32"/>
          <w:szCs w:val="32"/>
        </w:rPr>
        <w:t>支出决算为</w:t>
      </w:r>
      <w:r>
        <w:rPr>
          <w:rStyle w:val="a7"/>
          <w:rFonts w:ascii="仿宋_GB2312" w:eastAsia="仿宋_GB2312" w:hAnsi="仿宋" w:hint="eastAsia"/>
          <w:b w:val="0"/>
          <w:bCs/>
          <w:sz w:val="32"/>
          <w:szCs w:val="32"/>
        </w:rPr>
        <w:t>35.93</w:t>
      </w:r>
      <w:r>
        <w:rPr>
          <w:rStyle w:val="a7"/>
          <w:rFonts w:ascii="仿宋_GB2312" w:eastAsia="仿宋_GB2312" w:hAnsi="仿宋" w:hint="eastAsia"/>
          <w:b w:val="0"/>
          <w:bCs/>
          <w:sz w:val="32"/>
          <w:szCs w:val="32"/>
        </w:rPr>
        <w:t>万元，完成预算</w:t>
      </w:r>
      <w:r>
        <w:rPr>
          <w:rStyle w:val="a7"/>
          <w:rFonts w:ascii="仿宋_GB2312" w:eastAsia="仿宋_GB2312" w:hAnsi="仿宋" w:hint="eastAsia"/>
          <w:b w:val="0"/>
          <w:bCs/>
          <w:sz w:val="32"/>
          <w:szCs w:val="32"/>
        </w:rPr>
        <w:t>100%</w:t>
      </w:r>
      <w:r>
        <w:rPr>
          <w:rStyle w:val="a7"/>
          <w:rFonts w:ascii="仿宋_GB2312" w:eastAsia="仿宋_GB2312" w:hAnsi="仿宋" w:hint="eastAsia"/>
          <w:b w:val="0"/>
          <w:bCs/>
          <w:sz w:val="32"/>
          <w:szCs w:val="32"/>
        </w:rPr>
        <w:t>。</w:t>
      </w:r>
    </w:p>
    <w:p w:rsidR="00C86173" w:rsidRDefault="00CC65C4">
      <w:pPr>
        <w:spacing w:line="600" w:lineRule="exact"/>
        <w:ind w:firstLineChars="200" w:firstLine="643"/>
        <w:rPr>
          <w:rStyle w:val="a7"/>
          <w:rFonts w:ascii="仿宋_GB2312" w:eastAsia="仿宋_GB2312" w:hAnsi="仿宋"/>
          <w:b w:val="0"/>
          <w:bCs/>
          <w:sz w:val="32"/>
          <w:szCs w:val="32"/>
        </w:rPr>
      </w:pPr>
      <w:r>
        <w:rPr>
          <w:rStyle w:val="a7"/>
          <w:rFonts w:ascii="仿宋_GB2312" w:eastAsia="仿宋_GB2312" w:hAnsi="仿宋" w:hint="eastAsia"/>
          <w:bCs/>
          <w:sz w:val="32"/>
          <w:szCs w:val="32"/>
        </w:rPr>
        <w:t>4.</w:t>
      </w:r>
      <w:r>
        <w:rPr>
          <w:rStyle w:val="a7"/>
          <w:rFonts w:ascii="仿宋_GB2312" w:eastAsia="仿宋_GB2312" w:hAnsi="仿宋" w:hint="eastAsia"/>
          <w:bCs/>
          <w:sz w:val="32"/>
          <w:szCs w:val="32"/>
        </w:rPr>
        <w:t>社会保障和就业支出（类）行政事业单位养老支出（款）机关事业单位职业年金缴费支出（项）</w:t>
      </w:r>
      <w:r>
        <w:rPr>
          <w:rStyle w:val="a7"/>
          <w:rFonts w:ascii="仿宋_GB2312" w:eastAsia="仿宋_GB2312" w:hAnsi="仿宋" w:hint="eastAsia"/>
          <w:bCs/>
          <w:sz w:val="32"/>
          <w:szCs w:val="32"/>
        </w:rPr>
        <w:t xml:space="preserve">: </w:t>
      </w:r>
      <w:r>
        <w:rPr>
          <w:rStyle w:val="a7"/>
          <w:rFonts w:ascii="仿宋_GB2312" w:eastAsia="仿宋_GB2312" w:hAnsi="仿宋" w:hint="eastAsia"/>
          <w:b w:val="0"/>
          <w:bCs/>
          <w:sz w:val="32"/>
          <w:szCs w:val="32"/>
        </w:rPr>
        <w:t>支出决算为</w:t>
      </w:r>
      <w:r>
        <w:rPr>
          <w:rStyle w:val="a7"/>
          <w:rFonts w:ascii="仿宋_GB2312" w:eastAsia="仿宋_GB2312" w:hAnsi="仿宋" w:hint="eastAsia"/>
          <w:b w:val="0"/>
          <w:bCs/>
          <w:sz w:val="32"/>
          <w:szCs w:val="32"/>
        </w:rPr>
        <w:t>1.87</w:t>
      </w:r>
      <w:r>
        <w:rPr>
          <w:rStyle w:val="a7"/>
          <w:rFonts w:ascii="仿宋_GB2312" w:eastAsia="仿宋_GB2312" w:hAnsi="仿宋" w:hint="eastAsia"/>
          <w:b w:val="0"/>
          <w:bCs/>
          <w:sz w:val="32"/>
          <w:szCs w:val="32"/>
        </w:rPr>
        <w:t>万元，完成预算</w:t>
      </w:r>
      <w:r>
        <w:rPr>
          <w:rStyle w:val="a7"/>
          <w:rFonts w:ascii="仿宋_GB2312" w:eastAsia="仿宋_GB2312" w:hAnsi="仿宋" w:hint="eastAsia"/>
          <w:b w:val="0"/>
          <w:bCs/>
          <w:sz w:val="32"/>
          <w:szCs w:val="32"/>
        </w:rPr>
        <w:t>100%</w:t>
      </w:r>
      <w:r>
        <w:rPr>
          <w:rStyle w:val="a7"/>
          <w:rFonts w:ascii="仿宋_GB2312" w:eastAsia="仿宋_GB2312" w:hAnsi="仿宋" w:hint="eastAsia"/>
          <w:b w:val="0"/>
          <w:bCs/>
          <w:sz w:val="32"/>
          <w:szCs w:val="32"/>
        </w:rPr>
        <w:t>。</w:t>
      </w:r>
    </w:p>
    <w:p w:rsidR="00C86173" w:rsidRDefault="00CC65C4">
      <w:pPr>
        <w:spacing w:line="600" w:lineRule="exact"/>
        <w:ind w:firstLineChars="200" w:firstLine="643"/>
        <w:rPr>
          <w:rFonts w:ascii="仿宋" w:eastAsia="仿宋" w:hAnsi="仿宋"/>
          <w:sz w:val="32"/>
          <w:szCs w:val="32"/>
        </w:rPr>
      </w:pPr>
      <w:r>
        <w:rPr>
          <w:rStyle w:val="a7"/>
          <w:rFonts w:ascii="仿宋_GB2312" w:eastAsia="仿宋_GB2312" w:hAnsi="仿宋" w:hint="eastAsia"/>
          <w:bCs/>
          <w:sz w:val="32"/>
          <w:szCs w:val="32"/>
        </w:rPr>
        <w:t>5.</w:t>
      </w:r>
      <w:r>
        <w:rPr>
          <w:rFonts w:ascii="仿宋_GB2312" w:eastAsia="仿宋_GB2312" w:hAnsi="仿宋" w:hint="eastAsia"/>
          <w:b/>
          <w:bCs/>
          <w:sz w:val="32"/>
          <w:szCs w:val="32"/>
        </w:rPr>
        <w:t>卫生健康</w:t>
      </w:r>
      <w:r>
        <w:rPr>
          <w:rStyle w:val="a7"/>
          <w:rFonts w:ascii="仿宋_GB2312" w:eastAsia="仿宋_GB2312" w:hAnsi="仿宋" w:hint="eastAsia"/>
          <w:bCs/>
          <w:sz w:val="32"/>
          <w:szCs w:val="32"/>
        </w:rPr>
        <w:t>（类）行政事业单位医疗</w:t>
      </w:r>
      <w:r>
        <w:rPr>
          <w:rStyle w:val="a7"/>
          <w:rFonts w:ascii="仿宋_GB2312" w:eastAsia="仿宋_GB2312" w:hAnsi="仿宋" w:hint="eastAsia"/>
          <w:bCs/>
          <w:sz w:val="32"/>
          <w:szCs w:val="32"/>
        </w:rPr>
        <w:t>（款）事业单位医疗（项）</w:t>
      </w:r>
      <w:r>
        <w:rPr>
          <w:rStyle w:val="a7"/>
          <w:rFonts w:ascii="仿宋_GB2312" w:eastAsia="仿宋_GB2312" w:hAnsi="仿宋" w:hint="eastAsia"/>
          <w:bCs/>
          <w:sz w:val="32"/>
          <w:szCs w:val="32"/>
        </w:rPr>
        <w:t>:</w:t>
      </w:r>
      <w:r>
        <w:rPr>
          <w:rStyle w:val="a7"/>
          <w:rFonts w:ascii="仿宋_GB2312" w:eastAsia="仿宋_GB2312" w:hAnsi="仿宋" w:hint="eastAsia"/>
          <w:b w:val="0"/>
          <w:bCs/>
          <w:sz w:val="32"/>
          <w:szCs w:val="32"/>
        </w:rPr>
        <w:t>支出决算为</w:t>
      </w:r>
      <w:r>
        <w:rPr>
          <w:rStyle w:val="a7"/>
          <w:rFonts w:ascii="仿宋_GB2312" w:eastAsia="仿宋_GB2312" w:hAnsi="仿宋"/>
          <w:b w:val="0"/>
          <w:bCs/>
          <w:sz w:val="32"/>
          <w:szCs w:val="32"/>
        </w:rPr>
        <w:t>1</w:t>
      </w:r>
      <w:r>
        <w:rPr>
          <w:rStyle w:val="a7"/>
          <w:rFonts w:ascii="仿宋_GB2312" w:eastAsia="仿宋_GB2312" w:hAnsi="仿宋" w:hint="eastAsia"/>
          <w:b w:val="0"/>
          <w:bCs/>
          <w:sz w:val="32"/>
          <w:szCs w:val="32"/>
        </w:rPr>
        <w:t>8.19</w:t>
      </w:r>
      <w:r>
        <w:rPr>
          <w:rStyle w:val="a7"/>
          <w:rFonts w:ascii="仿宋_GB2312" w:eastAsia="仿宋_GB2312" w:hAnsi="仿宋" w:hint="eastAsia"/>
          <w:b w:val="0"/>
          <w:bCs/>
          <w:sz w:val="32"/>
          <w:szCs w:val="32"/>
        </w:rPr>
        <w:t>万元，完成预算</w:t>
      </w:r>
      <w:r>
        <w:rPr>
          <w:rStyle w:val="a7"/>
          <w:rFonts w:ascii="仿宋_GB2312" w:eastAsia="仿宋_GB2312" w:hAnsi="仿宋" w:hint="eastAsia"/>
          <w:b w:val="0"/>
          <w:bCs/>
          <w:sz w:val="32"/>
          <w:szCs w:val="32"/>
        </w:rPr>
        <w:t>100%</w:t>
      </w:r>
      <w:r>
        <w:rPr>
          <w:rStyle w:val="a7"/>
          <w:rFonts w:ascii="仿宋_GB2312" w:eastAsia="仿宋_GB2312" w:hAnsi="仿宋" w:hint="eastAsia"/>
          <w:b w:val="0"/>
          <w:bCs/>
          <w:sz w:val="32"/>
          <w:szCs w:val="32"/>
        </w:rPr>
        <w:t>。</w:t>
      </w:r>
    </w:p>
    <w:p w:rsidR="00C86173" w:rsidRDefault="00CC65C4">
      <w:pPr>
        <w:spacing w:line="600" w:lineRule="exact"/>
        <w:ind w:firstLineChars="200" w:firstLine="643"/>
        <w:rPr>
          <w:rFonts w:ascii="仿宋_GB2312" w:eastAsia="仿宋_GB2312" w:hAnsi="仿宋"/>
          <w:b/>
          <w:sz w:val="32"/>
          <w:szCs w:val="32"/>
        </w:rPr>
      </w:pPr>
      <w:r>
        <w:rPr>
          <w:rFonts w:ascii="仿宋_GB2312" w:eastAsia="仿宋_GB2312" w:hint="eastAsia"/>
          <w:b/>
          <w:sz w:val="32"/>
          <w:szCs w:val="32"/>
        </w:rPr>
        <w:lastRenderedPageBreak/>
        <w:t>6.</w:t>
      </w:r>
      <w:r>
        <w:rPr>
          <w:rFonts w:ascii="仿宋_GB2312" w:eastAsia="仿宋_GB2312" w:hint="eastAsia"/>
          <w:b/>
          <w:sz w:val="32"/>
          <w:szCs w:val="32"/>
        </w:rPr>
        <w:t>住房保障支出（类）住房改革支出（款）住房公积金（项）：</w:t>
      </w:r>
      <w:r>
        <w:rPr>
          <w:rFonts w:ascii="仿宋_GB2312" w:eastAsia="仿宋_GB2312" w:hint="eastAsia"/>
          <w:sz w:val="32"/>
          <w:szCs w:val="32"/>
        </w:rPr>
        <w:t>支出决算为</w:t>
      </w:r>
      <w:r>
        <w:rPr>
          <w:rFonts w:ascii="仿宋_GB2312" w:eastAsia="仿宋_GB2312" w:hAnsi="仿宋"/>
          <w:sz w:val="32"/>
          <w:szCs w:val="32"/>
        </w:rPr>
        <w:t>56.03</w:t>
      </w:r>
      <w:r>
        <w:rPr>
          <w:rFonts w:ascii="仿宋_GB2312" w:eastAsia="仿宋_GB2312" w:hint="eastAsia"/>
          <w:sz w:val="32"/>
          <w:szCs w:val="32"/>
        </w:rPr>
        <w:t>万元，完成预算</w:t>
      </w:r>
      <w:r>
        <w:rPr>
          <w:rFonts w:ascii="仿宋_GB2312" w:eastAsia="仿宋_GB2312" w:hint="eastAsia"/>
          <w:sz w:val="32"/>
          <w:szCs w:val="32"/>
        </w:rPr>
        <w:t>100%</w:t>
      </w:r>
      <w:r>
        <w:rPr>
          <w:rFonts w:ascii="仿宋_GB2312" w:eastAsia="仿宋_GB2312" w:hint="eastAsia"/>
          <w:sz w:val="32"/>
          <w:szCs w:val="32"/>
        </w:rPr>
        <w:t>。</w:t>
      </w:r>
    </w:p>
    <w:p w:rsidR="00C86173" w:rsidRDefault="00CC65C4">
      <w:pPr>
        <w:spacing w:line="600" w:lineRule="exact"/>
        <w:ind w:firstLine="640"/>
        <w:rPr>
          <w:rFonts w:ascii="仿宋" w:eastAsia="仿宋" w:hAnsi="仿宋"/>
          <w:b/>
          <w:sz w:val="32"/>
          <w:szCs w:val="32"/>
        </w:rPr>
      </w:pPr>
      <w:r>
        <w:rPr>
          <w:rStyle w:val="a7"/>
          <w:rFonts w:ascii="仿宋" w:eastAsia="仿宋" w:hAnsi="仿宋" w:hint="eastAsia"/>
          <w:bCs/>
          <w:sz w:val="32"/>
          <w:szCs w:val="32"/>
        </w:rPr>
        <w:t>7</w:t>
      </w:r>
      <w:r>
        <w:rPr>
          <w:rStyle w:val="a7"/>
          <w:rFonts w:ascii="仿宋" w:eastAsia="仿宋" w:hAnsi="仿宋"/>
          <w:bCs/>
          <w:sz w:val="32"/>
          <w:szCs w:val="32"/>
        </w:rPr>
        <w:t>.</w:t>
      </w:r>
      <w:r>
        <w:rPr>
          <w:rFonts w:ascii="仿宋_GB2312" w:eastAsia="仿宋_GB2312" w:hAnsi="仿宋" w:hint="eastAsia"/>
          <w:b/>
          <w:bCs/>
          <w:sz w:val="32"/>
          <w:szCs w:val="32"/>
        </w:rPr>
        <w:t>其他支出</w:t>
      </w:r>
      <w:r>
        <w:rPr>
          <w:rStyle w:val="a7"/>
          <w:rFonts w:ascii="仿宋_GB2312" w:eastAsia="仿宋_GB2312" w:hAnsi="仿宋" w:hint="eastAsia"/>
          <w:bCs/>
          <w:sz w:val="32"/>
          <w:szCs w:val="32"/>
        </w:rPr>
        <w:t>（类）其他支出（款）其他支出（项）</w:t>
      </w:r>
      <w:r>
        <w:rPr>
          <w:rStyle w:val="a7"/>
          <w:rFonts w:ascii="仿宋_GB2312" w:eastAsia="仿宋_GB2312" w:hAnsi="仿宋" w:hint="eastAsia"/>
          <w:bCs/>
          <w:sz w:val="32"/>
          <w:szCs w:val="32"/>
        </w:rPr>
        <w:t>:</w:t>
      </w:r>
      <w:r>
        <w:rPr>
          <w:rStyle w:val="a7"/>
          <w:rFonts w:ascii="仿宋_GB2312" w:eastAsia="仿宋_GB2312" w:hAnsi="仿宋" w:hint="eastAsia"/>
          <w:b w:val="0"/>
          <w:bCs/>
          <w:sz w:val="32"/>
          <w:szCs w:val="32"/>
        </w:rPr>
        <w:t>支出决算为</w:t>
      </w:r>
      <w:r>
        <w:rPr>
          <w:rStyle w:val="a7"/>
          <w:rFonts w:ascii="仿宋_GB2312" w:eastAsia="仿宋_GB2312" w:hAnsi="仿宋"/>
          <w:b w:val="0"/>
          <w:bCs/>
          <w:sz w:val="32"/>
          <w:szCs w:val="32"/>
        </w:rPr>
        <w:t>192.5</w:t>
      </w:r>
      <w:r>
        <w:rPr>
          <w:rStyle w:val="a7"/>
          <w:rFonts w:ascii="仿宋_GB2312" w:eastAsia="仿宋_GB2312" w:hAnsi="仿宋" w:hint="eastAsia"/>
          <w:b w:val="0"/>
          <w:bCs/>
          <w:sz w:val="32"/>
          <w:szCs w:val="32"/>
        </w:rPr>
        <w:t>万元，完成预算</w:t>
      </w:r>
      <w:r>
        <w:rPr>
          <w:rStyle w:val="a7"/>
          <w:rFonts w:ascii="仿宋_GB2312" w:eastAsia="仿宋_GB2312" w:hAnsi="仿宋" w:hint="eastAsia"/>
          <w:b w:val="0"/>
          <w:bCs/>
          <w:sz w:val="32"/>
          <w:szCs w:val="32"/>
        </w:rPr>
        <w:t>100%</w:t>
      </w:r>
      <w:r>
        <w:rPr>
          <w:rStyle w:val="a7"/>
          <w:rFonts w:ascii="仿宋_GB2312" w:eastAsia="仿宋_GB2312" w:hAnsi="仿宋" w:hint="eastAsia"/>
          <w:b w:val="0"/>
          <w:bCs/>
          <w:sz w:val="32"/>
          <w:szCs w:val="32"/>
        </w:rPr>
        <w:t>。</w:t>
      </w:r>
    </w:p>
    <w:p w:rsidR="00C86173" w:rsidRDefault="00CC65C4">
      <w:pPr>
        <w:tabs>
          <w:tab w:val="right" w:pos="8306"/>
        </w:tabs>
        <w:spacing w:line="600" w:lineRule="exact"/>
        <w:ind w:firstLine="640"/>
        <w:outlineLvl w:val="1"/>
        <w:rPr>
          <w:rStyle w:val="2Char"/>
        </w:rPr>
      </w:pPr>
      <w:bookmarkStart w:id="53" w:name="_Toc145324374"/>
      <w:bookmarkStart w:id="54" w:name="_Toc15396608"/>
      <w:bookmarkStart w:id="55" w:name="_Toc15377214"/>
      <w:r>
        <w:rPr>
          <w:rFonts w:ascii="黑体" w:eastAsia="黑体" w:hint="eastAsia"/>
          <w:sz w:val="32"/>
          <w:szCs w:val="32"/>
        </w:rPr>
        <w:t>六</w:t>
      </w:r>
      <w:r>
        <w:rPr>
          <w:rFonts w:ascii="黑体" w:eastAsia="黑体" w:hint="eastAsia"/>
          <w:b/>
          <w:sz w:val="32"/>
          <w:szCs w:val="32"/>
        </w:rPr>
        <w:t>、</w:t>
      </w:r>
      <w:r>
        <w:rPr>
          <w:rFonts w:ascii="黑体" w:eastAsia="黑体" w:hAnsi="黑体" w:hint="eastAsia"/>
          <w:b/>
          <w:sz w:val="32"/>
          <w:szCs w:val="32"/>
        </w:rPr>
        <w:t>一</w:t>
      </w:r>
      <w:r>
        <w:rPr>
          <w:rStyle w:val="2Char"/>
          <w:rFonts w:ascii="黑体" w:eastAsia="黑体" w:hAnsi="黑体" w:hint="eastAsia"/>
          <w:b w:val="0"/>
        </w:rPr>
        <w:t>般公共预算财政拨款基本支出决算情况说明</w:t>
      </w:r>
      <w:bookmarkEnd w:id="53"/>
      <w:bookmarkEnd w:id="54"/>
      <w:bookmarkEnd w:id="55"/>
      <w:r>
        <w:rPr>
          <w:rStyle w:val="2Char"/>
          <w:rFonts w:ascii="黑体" w:eastAsia="黑体" w:hAnsi="黑体"/>
          <w:b w:val="0"/>
        </w:rPr>
        <w:tab/>
      </w:r>
    </w:p>
    <w:p w:rsidR="00C86173" w:rsidRDefault="00CC65C4">
      <w:pPr>
        <w:spacing w:line="600" w:lineRule="exact"/>
        <w:ind w:firstLine="645"/>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年一般公共预算财政拨款基本支出</w:t>
      </w:r>
      <w:r>
        <w:rPr>
          <w:rFonts w:ascii="仿宋_GB2312" w:eastAsia="仿宋_GB2312" w:hAnsi="仿宋" w:hint="eastAsia"/>
          <w:sz w:val="32"/>
          <w:szCs w:val="32"/>
        </w:rPr>
        <w:t>582.51</w:t>
      </w:r>
      <w:r>
        <w:rPr>
          <w:rFonts w:ascii="仿宋_GB2312" w:eastAsia="仿宋_GB2312" w:hAnsi="仿宋" w:hint="eastAsia"/>
          <w:sz w:val="32"/>
          <w:szCs w:val="32"/>
        </w:rPr>
        <w:t>万元，其中：</w:t>
      </w:r>
    </w:p>
    <w:p w:rsidR="00C86173" w:rsidRDefault="00CC65C4">
      <w:pPr>
        <w:spacing w:line="600" w:lineRule="exact"/>
        <w:ind w:firstLine="645"/>
        <w:rPr>
          <w:rFonts w:ascii="仿宋_GB2312" w:eastAsia="仿宋_GB2312" w:hAnsi="仿宋"/>
          <w:sz w:val="32"/>
          <w:szCs w:val="32"/>
        </w:rPr>
      </w:pPr>
      <w:r>
        <w:rPr>
          <w:rFonts w:ascii="仿宋_GB2312" w:eastAsia="仿宋_GB2312" w:hAnsi="仿宋" w:hint="eastAsia"/>
          <w:sz w:val="32"/>
          <w:szCs w:val="32"/>
        </w:rPr>
        <w:t>人员经费</w:t>
      </w:r>
      <w:r>
        <w:rPr>
          <w:rFonts w:ascii="仿宋_GB2312" w:eastAsia="仿宋_GB2312" w:hAnsi="仿宋" w:hint="eastAsia"/>
          <w:sz w:val="32"/>
          <w:szCs w:val="32"/>
        </w:rPr>
        <w:t>541.39</w:t>
      </w:r>
      <w:r>
        <w:rPr>
          <w:rFonts w:ascii="仿宋_GB2312" w:eastAsia="仿宋_GB2312" w:hAnsi="仿宋" w:hint="eastAsia"/>
          <w:sz w:val="32"/>
          <w:szCs w:val="32"/>
        </w:rPr>
        <w:t>万元，主要包括：基本工资、津贴补贴、奖金、绩效工资、机关事业单位基本养老保险缴费、职业年金缴费、职工基本医疗保险缴费、其他社会保障缴费、住房公积金、其他工资福利支出、生活补助、奖励金。</w:t>
      </w:r>
      <w:r>
        <w:rPr>
          <w:rFonts w:ascii="仿宋_GB2312" w:eastAsia="仿宋_GB2312" w:hAnsi="仿宋" w:hint="eastAsia"/>
          <w:sz w:val="32"/>
          <w:szCs w:val="32"/>
        </w:rPr>
        <w:br/>
      </w:r>
      <w:r>
        <w:rPr>
          <w:rFonts w:ascii="仿宋_GB2312" w:eastAsia="仿宋_GB2312" w:hAnsi="仿宋" w:hint="eastAsia"/>
          <w:sz w:val="32"/>
          <w:szCs w:val="32"/>
        </w:rPr>
        <w:t xml:space="preserve">　　公用经费</w:t>
      </w:r>
      <w:r>
        <w:rPr>
          <w:rFonts w:ascii="仿宋_GB2312" w:eastAsia="仿宋_GB2312" w:hAnsi="仿宋" w:hint="eastAsia"/>
          <w:sz w:val="32"/>
          <w:szCs w:val="32"/>
        </w:rPr>
        <w:t>41.12</w:t>
      </w:r>
      <w:r>
        <w:rPr>
          <w:rFonts w:ascii="仿宋_GB2312" w:eastAsia="仿宋_GB2312" w:hAnsi="仿宋" w:hint="eastAsia"/>
          <w:sz w:val="32"/>
          <w:szCs w:val="32"/>
        </w:rPr>
        <w:t>万元，主要包括：办公费、印刷费、水费、电费、邮电费、差旅费、劳务费、工会经费、福利费、公务用车运行维护费、其他商品和服务支出、办公设备购置。</w:t>
      </w:r>
    </w:p>
    <w:p w:rsidR="00C86173" w:rsidRDefault="00CC65C4">
      <w:pPr>
        <w:spacing w:line="600" w:lineRule="exact"/>
        <w:ind w:firstLine="640"/>
        <w:outlineLvl w:val="1"/>
        <w:rPr>
          <w:rStyle w:val="2Char"/>
          <w:rFonts w:ascii="黑体" w:eastAsia="黑体" w:hAnsi="黑体"/>
          <w:b w:val="0"/>
        </w:rPr>
      </w:pPr>
      <w:bookmarkStart w:id="56" w:name="_Toc15377215"/>
      <w:bookmarkStart w:id="57" w:name="_Toc15396609"/>
      <w:bookmarkStart w:id="58" w:name="_Toc145324375"/>
      <w:r>
        <w:rPr>
          <w:rFonts w:ascii="黑体" w:eastAsia="黑体" w:hint="eastAsia"/>
          <w:sz w:val="32"/>
          <w:szCs w:val="32"/>
        </w:rPr>
        <w:t>七、</w:t>
      </w:r>
      <w:r>
        <w:rPr>
          <w:rStyle w:val="2Char"/>
          <w:rFonts w:ascii="黑体" w:eastAsia="黑体" w:hAnsi="黑体" w:hint="eastAsia"/>
          <w:b w:val="0"/>
        </w:rPr>
        <w:t>财政拨款</w:t>
      </w:r>
      <w:r>
        <w:rPr>
          <w:rStyle w:val="2Char"/>
          <w:rFonts w:ascii="黑体" w:eastAsia="黑体" w:hAnsi="黑体" w:hint="eastAsia"/>
        </w:rPr>
        <w:t>“</w:t>
      </w:r>
      <w:r>
        <w:rPr>
          <w:rStyle w:val="2Char"/>
          <w:rFonts w:ascii="黑体" w:eastAsia="黑体" w:hAnsi="黑体" w:hint="eastAsia"/>
          <w:b w:val="0"/>
        </w:rPr>
        <w:t>三公”经费支出决算情况说明</w:t>
      </w:r>
      <w:bookmarkEnd w:id="56"/>
      <w:bookmarkEnd w:id="57"/>
      <w:bookmarkEnd w:id="58"/>
    </w:p>
    <w:p w:rsidR="00C86173" w:rsidRDefault="00CC65C4">
      <w:pPr>
        <w:spacing w:line="600" w:lineRule="exact"/>
        <w:ind w:firstLine="640"/>
        <w:outlineLvl w:val="2"/>
        <w:rPr>
          <w:rFonts w:ascii="仿宋_GB2312" w:eastAsia="仿宋_GB2312" w:hAnsi="仿宋"/>
          <w:b/>
          <w:sz w:val="32"/>
          <w:szCs w:val="32"/>
        </w:rPr>
      </w:pPr>
      <w:bookmarkStart w:id="59" w:name="_Toc145324376"/>
      <w:bookmarkStart w:id="60" w:name="_Toc15377216"/>
      <w:r>
        <w:rPr>
          <w:rFonts w:ascii="仿宋_GB2312" w:eastAsia="仿宋_GB2312" w:hAnsi="仿宋" w:hint="eastAsia"/>
          <w:b/>
          <w:sz w:val="32"/>
          <w:szCs w:val="32"/>
        </w:rPr>
        <w:t>（一）“三公”经费财政拨款支出决算总体情况说明</w:t>
      </w:r>
      <w:bookmarkEnd w:id="59"/>
      <w:bookmarkEnd w:id="60"/>
    </w:p>
    <w:p w:rsidR="00C86173" w:rsidRDefault="00CC65C4">
      <w:pPr>
        <w:spacing w:line="600" w:lineRule="exact"/>
        <w:ind w:firstLine="640"/>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年“三公”经费财政拨款支出决算为</w:t>
      </w:r>
      <w:r>
        <w:rPr>
          <w:rFonts w:ascii="仿宋_GB2312" w:eastAsia="仿宋_GB2312" w:hAnsi="仿宋" w:hint="eastAsia"/>
          <w:sz w:val="32"/>
          <w:szCs w:val="32"/>
        </w:rPr>
        <w:t>1.78</w:t>
      </w:r>
      <w:r>
        <w:rPr>
          <w:rFonts w:ascii="仿宋_GB2312" w:eastAsia="仿宋_GB2312" w:hAnsi="仿宋" w:hint="eastAsia"/>
          <w:sz w:val="32"/>
          <w:szCs w:val="32"/>
        </w:rPr>
        <w:t>万元</w:t>
      </w:r>
      <w:r>
        <w:rPr>
          <w:rFonts w:ascii="仿宋_GB2312" w:eastAsia="仿宋_GB2312" w:hAnsi="仿宋" w:hint="eastAsia"/>
          <w:sz w:val="32"/>
          <w:szCs w:val="32"/>
        </w:rPr>
        <w:t>，完成预算</w:t>
      </w:r>
      <w:r>
        <w:rPr>
          <w:rFonts w:ascii="仿宋_GB2312" w:eastAsia="仿宋_GB2312" w:hAnsi="仿宋" w:hint="eastAsia"/>
          <w:sz w:val="32"/>
          <w:szCs w:val="32"/>
        </w:rPr>
        <w:t>74.17%</w:t>
      </w:r>
      <w:r>
        <w:rPr>
          <w:rFonts w:ascii="仿宋_GB2312" w:eastAsia="仿宋_GB2312" w:hAnsi="仿宋" w:hint="eastAsia"/>
          <w:sz w:val="32"/>
          <w:szCs w:val="32"/>
        </w:rPr>
        <w:t>，较上年减少</w:t>
      </w:r>
      <w:r>
        <w:rPr>
          <w:rFonts w:ascii="仿宋_GB2312" w:eastAsia="仿宋_GB2312" w:hAnsi="仿宋" w:hint="eastAsia"/>
          <w:sz w:val="32"/>
          <w:szCs w:val="32"/>
        </w:rPr>
        <w:t>0.01</w:t>
      </w:r>
      <w:r>
        <w:rPr>
          <w:rFonts w:ascii="仿宋_GB2312" w:eastAsia="仿宋_GB2312" w:hAnsi="仿宋" w:hint="eastAsia"/>
          <w:sz w:val="32"/>
          <w:szCs w:val="32"/>
        </w:rPr>
        <w:t>万元，下降</w:t>
      </w:r>
      <w:r>
        <w:rPr>
          <w:rFonts w:ascii="仿宋_GB2312" w:eastAsia="仿宋_GB2312" w:hAnsi="仿宋" w:hint="eastAsia"/>
          <w:sz w:val="32"/>
          <w:szCs w:val="32"/>
        </w:rPr>
        <w:t>0.56%</w:t>
      </w:r>
      <w:r>
        <w:rPr>
          <w:rFonts w:ascii="仿宋_GB2312" w:eastAsia="仿宋_GB2312" w:hAnsi="仿宋" w:hint="eastAsia"/>
          <w:sz w:val="32"/>
          <w:szCs w:val="32"/>
        </w:rPr>
        <w:t>。决算数小于预算数的主要原因是</w:t>
      </w:r>
      <w:r>
        <w:rPr>
          <w:rFonts w:ascii="仿宋_GB2312" w:eastAsia="仿宋_GB2312" w:hAnsi="微软雅黑" w:cs="仿宋" w:hint="eastAsia"/>
          <w:sz w:val="32"/>
          <w:szCs w:val="32"/>
        </w:rPr>
        <w:t>厉行节约</w:t>
      </w:r>
      <w:r>
        <w:rPr>
          <w:rFonts w:ascii="仿宋_GB2312" w:eastAsia="仿宋_GB2312" w:hAnsi="仿宋" w:hint="eastAsia"/>
          <w:sz w:val="32"/>
          <w:szCs w:val="32"/>
        </w:rPr>
        <w:t>公务用车次数减少。</w:t>
      </w:r>
    </w:p>
    <w:p w:rsidR="00C86173" w:rsidRDefault="00CC65C4">
      <w:pPr>
        <w:spacing w:line="600" w:lineRule="exact"/>
        <w:ind w:firstLine="640"/>
        <w:outlineLvl w:val="2"/>
        <w:rPr>
          <w:rFonts w:ascii="仿宋_GB2312" w:eastAsia="仿宋_GB2312" w:hAnsi="仿宋"/>
          <w:b/>
          <w:sz w:val="32"/>
          <w:szCs w:val="32"/>
        </w:rPr>
      </w:pPr>
      <w:bookmarkStart w:id="61" w:name="_Toc145324377"/>
      <w:bookmarkStart w:id="62" w:name="_Toc15377217"/>
      <w:r>
        <w:rPr>
          <w:rFonts w:ascii="仿宋_GB2312" w:eastAsia="仿宋_GB2312" w:hAnsi="仿宋" w:hint="eastAsia"/>
          <w:b/>
          <w:sz w:val="32"/>
          <w:szCs w:val="32"/>
        </w:rPr>
        <w:t>（二）“三公”经费财政拨款支出决算具体情况说明</w:t>
      </w:r>
      <w:bookmarkEnd w:id="61"/>
      <w:bookmarkEnd w:id="62"/>
    </w:p>
    <w:p w:rsidR="00C86173" w:rsidRDefault="00CC65C4">
      <w:pPr>
        <w:spacing w:line="600" w:lineRule="exact"/>
        <w:ind w:firstLine="640"/>
        <w:rPr>
          <w:rFonts w:ascii="仿宋_GB2312" w:eastAsia="仿宋_GB2312" w:hAnsi="仿宋"/>
          <w:sz w:val="32"/>
          <w:szCs w:val="32"/>
        </w:rPr>
      </w:pPr>
      <w:r>
        <w:rPr>
          <w:rFonts w:ascii="仿宋_GB2312" w:eastAsia="仿宋_GB2312" w:hAnsi="仿宋" w:hint="eastAsia"/>
          <w:sz w:val="32"/>
          <w:szCs w:val="32"/>
        </w:rPr>
        <w:t>2022</w:t>
      </w:r>
      <w:r>
        <w:rPr>
          <w:rFonts w:ascii="仿宋_GB2312" w:eastAsia="仿宋_GB2312" w:hAnsi="仿宋" w:hint="eastAsia"/>
          <w:sz w:val="32"/>
          <w:szCs w:val="32"/>
        </w:rPr>
        <w:t>年“三公”经费财政拨款支出决算中，因公出国（境）费支出决算</w:t>
      </w:r>
      <w:r>
        <w:rPr>
          <w:rFonts w:ascii="仿宋_GB2312" w:eastAsia="仿宋_GB2312" w:hAnsi="仿宋" w:hint="eastAsia"/>
          <w:sz w:val="32"/>
          <w:szCs w:val="32"/>
        </w:rPr>
        <w:t>0</w:t>
      </w:r>
      <w:r>
        <w:rPr>
          <w:rFonts w:ascii="仿宋_GB2312" w:eastAsia="仿宋_GB2312" w:hAnsi="仿宋" w:hint="eastAsia"/>
          <w:sz w:val="32"/>
          <w:szCs w:val="32"/>
        </w:rPr>
        <w:t>万元，占</w:t>
      </w:r>
      <w:r>
        <w:rPr>
          <w:rFonts w:ascii="仿宋_GB2312" w:eastAsia="仿宋_GB2312" w:hAnsi="仿宋" w:hint="eastAsia"/>
          <w:sz w:val="32"/>
          <w:szCs w:val="32"/>
        </w:rPr>
        <w:t>0%</w:t>
      </w:r>
      <w:r>
        <w:rPr>
          <w:rFonts w:ascii="仿宋_GB2312" w:eastAsia="仿宋_GB2312" w:hAnsi="仿宋" w:hint="eastAsia"/>
          <w:sz w:val="32"/>
          <w:szCs w:val="32"/>
        </w:rPr>
        <w:t>；公务用车购置及运行维护费支出决算</w:t>
      </w:r>
      <w:r>
        <w:rPr>
          <w:rFonts w:ascii="仿宋_GB2312" w:eastAsia="仿宋_GB2312" w:hAnsi="仿宋" w:hint="eastAsia"/>
          <w:sz w:val="32"/>
          <w:szCs w:val="32"/>
        </w:rPr>
        <w:t>1.78</w:t>
      </w:r>
      <w:r>
        <w:rPr>
          <w:rFonts w:ascii="仿宋_GB2312" w:eastAsia="仿宋_GB2312" w:hAnsi="仿宋" w:hint="eastAsia"/>
          <w:sz w:val="32"/>
          <w:szCs w:val="32"/>
        </w:rPr>
        <w:t>万元，占</w:t>
      </w:r>
      <w:r>
        <w:rPr>
          <w:rFonts w:ascii="仿宋_GB2312" w:eastAsia="仿宋_GB2312" w:hAnsi="仿宋" w:hint="eastAsia"/>
          <w:sz w:val="32"/>
          <w:szCs w:val="32"/>
        </w:rPr>
        <w:t>100%</w:t>
      </w:r>
      <w:r>
        <w:rPr>
          <w:rFonts w:ascii="仿宋_GB2312" w:eastAsia="仿宋_GB2312" w:hAnsi="仿宋" w:hint="eastAsia"/>
          <w:sz w:val="32"/>
          <w:szCs w:val="32"/>
        </w:rPr>
        <w:t>；公务接待费支出决算</w:t>
      </w:r>
      <w:r>
        <w:rPr>
          <w:rFonts w:ascii="仿宋_GB2312" w:eastAsia="仿宋_GB2312" w:hAnsi="仿宋" w:hint="eastAsia"/>
          <w:sz w:val="32"/>
          <w:szCs w:val="32"/>
        </w:rPr>
        <w:t>0</w:t>
      </w:r>
      <w:r>
        <w:rPr>
          <w:rFonts w:ascii="仿宋_GB2312" w:eastAsia="仿宋_GB2312" w:hAnsi="仿宋" w:hint="eastAsia"/>
          <w:sz w:val="32"/>
          <w:szCs w:val="32"/>
        </w:rPr>
        <w:t>万元，占</w:t>
      </w:r>
      <w:r>
        <w:rPr>
          <w:rFonts w:ascii="仿宋_GB2312" w:eastAsia="仿宋_GB2312" w:hAnsi="仿宋" w:hint="eastAsia"/>
          <w:sz w:val="32"/>
          <w:szCs w:val="32"/>
        </w:rPr>
        <w:lastRenderedPageBreak/>
        <w:t>0%</w:t>
      </w:r>
      <w:r>
        <w:rPr>
          <w:rFonts w:ascii="仿宋_GB2312" w:eastAsia="仿宋_GB2312" w:hAnsi="仿宋" w:hint="eastAsia"/>
          <w:sz w:val="32"/>
          <w:szCs w:val="32"/>
        </w:rPr>
        <w:t>。具体情况如下：</w:t>
      </w:r>
    </w:p>
    <w:p w:rsidR="00C86173" w:rsidRDefault="00CC65C4">
      <w:pPr>
        <w:spacing w:line="600" w:lineRule="exact"/>
        <w:rPr>
          <w:rFonts w:ascii="仿宋" w:eastAsia="仿宋" w:hAnsi="仿宋"/>
          <w:sz w:val="32"/>
          <w:szCs w:val="32"/>
        </w:rPr>
      </w:pPr>
      <w:r>
        <w:rPr>
          <w:rFonts w:ascii="仿宋" w:eastAsia="仿宋" w:hAnsi="仿宋"/>
          <w:noProof/>
          <w:sz w:val="32"/>
          <w:szCs w:val="32"/>
        </w:rPr>
        <w:drawing>
          <wp:anchor distT="0" distB="0" distL="114300" distR="114300" simplePos="0" relativeHeight="251666432" behindDoc="0" locked="0" layoutInCell="1" allowOverlap="1">
            <wp:simplePos x="0" y="0"/>
            <wp:positionH relativeFrom="margin">
              <wp:posOffset>825500</wp:posOffset>
            </wp:positionH>
            <wp:positionV relativeFrom="margin">
              <wp:posOffset>545465</wp:posOffset>
            </wp:positionV>
            <wp:extent cx="3733800" cy="2112010"/>
            <wp:effectExtent l="19050" t="0" r="19050" b="2540"/>
            <wp:wrapSquare wrapText="bothSides"/>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C86173" w:rsidRDefault="00C86173">
      <w:pPr>
        <w:spacing w:line="600" w:lineRule="exact"/>
        <w:ind w:firstLine="640"/>
        <w:rPr>
          <w:rFonts w:ascii="仿宋" w:eastAsia="仿宋" w:hAnsi="仿宋"/>
          <w:sz w:val="32"/>
          <w:szCs w:val="32"/>
        </w:rPr>
      </w:pPr>
    </w:p>
    <w:p w:rsidR="00C86173" w:rsidRDefault="00C86173">
      <w:pPr>
        <w:spacing w:line="600" w:lineRule="exact"/>
        <w:ind w:firstLine="640"/>
        <w:rPr>
          <w:rFonts w:ascii="仿宋" w:eastAsia="仿宋" w:hAnsi="仿宋"/>
          <w:sz w:val="32"/>
          <w:szCs w:val="32"/>
        </w:rPr>
      </w:pPr>
    </w:p>
    <w:p w:rsidR="00C86173" w:rsidRDefault="00C86173">
      <w:pPr>
        <w:spacing w:line="600" w:lineRule="exact"/>
        <w:ind w:firstLine="640"/>
        <w:rPr>
          <w:rFonts w:ascii="仿宋" w:eastAsia="仿宋" w:hAnsi="仿宋"/>
          <w:sz w:val="32"/>
          <w:szCs w:val="32"/>
        </w:rPr>
      </w:pPr>
    </w:p>
    <w:p w:rsidR="00C86173" w:rsidRDefault="00C86173">
      <w:pPr>
        <w:spacing w:line="600" w:lineRule="exact"/>
        <w:ind w:firstLine="640"/>
        <w:rPr>
          <w:rFonts w:ascii="仿宋" w:eastAsia="仿宋" w:hAnsi="仿宋"/>
          <w:sz w:val="32"/>
          <w:szCs w:val="32"/>
        </w:rPr>
      </w:pPr>
    </w:p>
    <w:p w:rsidR="00C86173" w:rsidRDefault="00C86173">
      <w:pPr>
        <w:spacing w:line="600" w:lineRule="exact"/>
        <w:rPr>
          <w:rFonts w:ascii="仿宋" w:eastAsia="仿宋" w:hAnsi="仿宋"/>
          <w:sz w:val="32"/>
          <w:szCs w:val="32"/>
        </w:rPr>
      </w:pPr>
    </w:p>
    <w:p w:rsidR="00C86173" w:rsidRDefault="00CC65C4">
      <w:pPr>
        <w:spacing w:line="600" w:lineRule="exact"/>
        <w:jc w:val="center"/>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图</w:t>
      </w:r>
      <w:r>
        <w:rPr>
          <w:rFonts w:ascii="仿宋" w:eastAsia="仿宋" w:hAnsi="仿宋" w:hint="eastAsia"/>
          <w:sz w:val="32"/>
          <w:szCs w:val="32"/>
        </w:rPr>
        <w:t>7</w:t>
      </w:r>
      <w:r>
        <w:rPr>
          <w:rFonts w:ascii="仿宋" w:eastAsia="仿宋" w:hAnsi="仿宋" w:hint="eastAsia"/>
          <w:sz w:val="32"/>
          <w:szCs w:val="32"/>
        </w:rPr>
        <w:t>：“三公”经费财政拨款支出结构</w:t>
      </w:r>
      <w:r>
        <w:rPr>
          <w:rFonts w:ascii="仿宋" w:eastAsia="仿宋" w:hAnsi="仿宋" w:hint="eastAsia"/>
          <w:sz w:val="32"/>
          <w:szCs w:val="32"/>
        </w:rPr>
        <w:t>)</w:t>
      </w:r>
      <w:r>
        <w:rPr>
          <w:rFonts w:ascii="仿宋_GB2312" w:eastAsia="仿宋_GB2312" w:hAnsi="仿宋_GB2312" w:cs="仿宋_GB2312" w:hint="eastAsia"/>
          <w:sz w:val="32"/>
          <w:szCs w:val="32"/>
        </w:rPr>
        <w:t>（饼状图）</w:t>
      </w:r>
    </w:p>
    <w:p w:rsidR="00C86173" w:rsidRDefault="00CC65C4">
      <w:pPr>
        <w:spacing w:line="600" w:lineRule="exact"/>
        <w:ind w:firstLine="640"/>
      </w:pPr>
      <w:r>
        <w:rPr>
          <w:rFonts w:ascii="仿宋_GB2312" w:eastAsia="仿宋_GB2312"/>
          <w:b/>
          <w:sz w:val="32"/>
          <w:szCs w:val="32"/>
        </w:rPr>
        <w:t>1.</w:t>
      </w:r>
      <w:r>
        <w:rPr>
          <w:rFonts w:ascii="仿宋_GB2312" w:eastAsia="仿宋_GB2312" w:hint="eastAsia"/>
          <w:b/>
          <w:sz w:val="32"/>
          <w:szCs w:val="32"/>
        </w:rPr>
        <w:t>因公出国（境）经费支出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Ansi="仿宋" w:hint="eastAsia"/>
          <w:sz w:val="32"/>
          <w:szCs w:val="32"/>
        </w:rPr>
        <w:t>年初未安排预算</w:t>
      </w:r>
      <w:r>
        <w:rPr>
          <w:rStyle w:val="a7"/>
          <w:rFonts w:ascii="仿宋_GB2312" w:eastAsia="仿宋_GB2312" w:hAnsi="仿宋" w:hint="eastAsia"/>
          <w:b w:val="0"/>
          <w:bCs/>
          <w:sz w:val="32"/>
          <w:szCs w:val="32"/>
        </w:rPr>
        <w:t>。</w:t>
      </w:r>
      <w:r>
        <w:rPr>
          <w:rFonts w:ascii="仿宋_GB2312" w:eastAsia="仿宋_GB2312" w:hAnsi="仿宋" w:hint="eastAsia"/>
          <w:sz w:val="32"/>
          <w:szCs w:val="32"/>
        </w:rPr>
        <w:t>因公出国</w:t>
      </w:r>
      <w:r>
        <w:rPr>
          <w:rFonts w:ascii="仿宋_GB2312" w:eastAsia="仿宋_GB2312" w:hint="eastAsia"/>
          <w:sz w:val="32"/>
          <w:szCs w:val="32"/>
        </w:rPr>
        <w:t>（境）</w:t>
      </w:r>
      <w:r>
        <w:rPr>
          <w:rFonts w:ascii="仿宋_GB2312" w:eastAsia="仿宋_GB2312" w:hAnsi="仿宋" w:hint="eastAsia"/>
          <w:sz w:val="32"/>
          <w:szCs w:val="32"/>
        </w:rPr>
        <w:t>支出决算较</w:t>
      </w:r>
      <w:r>
        <w:rPr>
          <w:rFonts w:ascii="仿宋_GB2312" w:eastAsia="仿宋_GB2312" w:hAnsi="仿宋" w:hint="eastAsia"/>
          <w:sz w:val="32"/>
          <w:szCs w:val="32"/>
        </w:rPr>
        <w:t>2021</w:t>
      </w:r>
      <w:r>
        <w:rPr>
          <w:rFonts w:ascii="仿宋_GB2312" w:eastAsia="仿宋_GB2312" w:hAnsi="仿宋" w:hint="eastAsia"/>
          <w:sz w:val="32"/>
          <w:szCs w:val="32"/>
        </w:rPr>
        <w:t>年无变化</w:t>
      </w:r>
      <w:r>
        <w:rPr>
          <w:rFonts w:ascii="仿宋_GB2312" w:eastAsia="仿宋_GB2312" w:hint="eastAsia"/>
          <w:sz w:val="32"/>
          <w:szCs w:val="32"/>
        </w:rPr>
        <w:t>。</w:t>
      </w:r>
    </w:p>
    <w:p w:rsidR="00C86173" w:rsidRDefault="00CC65C4">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_GB2312" w:eastAsia="仿宋_GB2312" w:hint="eastAsia"/>
          <w:sz w:val="32"/>
          <w:szCs w:val="32"/>
        </w:rPr>
        <w:t>1.78</w:t>
      </w:r>
      <w:r>
        <w:rPr>
          <w:rFonts w:ascii="仿宋_GB2312" w:eastAsia="仿宋_GB2312" w:hint="eastAsia"/>
          <w:sz w:val="32"/>
          <w:szCs w:val="32"/>
        </w:rPr>
        <w:t>万元</w:t>
      </w:r>
      <w:r>
        <w:rPr>
          <w:rFonts w:ascii="仿宋_GB2312" w:eastAsia="仿宋_GB2312" w:hint="eastAsia"/>
          <w:sz w:val="32"/>
          <w:szCs w:val="32"/>
        </w:rPr>
        <w:t>,</w:t>
      </w:r>
      <w:r>
        <w:rPr>
          <w:rStyle w:val="a7"/>
          <w:rFonts w:ascii="仿宋" w:eastAsia="仿宋" w:hAnsi="仿宋" w:hint="eastAsia"/>
          <w:b w:val="0"/>
          <w:bCs/>
          <w:sz w:val="32"/>
          <w:szCs w:val="32"/>
        </w:rPr>
        <w:t>完成预算</w:t>
      </w:r>
      <w:r>
        <w:rPr>
          <w:rStyle w:val="a7"/>
          <w:rFonts w:ascii="仿宋" w:eastAsia="仿宋" w:hAnsi="仿宋" w:hint="eastAsia"/>
          <w:b w:val="0"/>
          <w:bCs/>
          <w:sz w:val="32"/>
          <w:szCs w:val="32"/>
        </w:rPr>
        <w:t>74.17</w:t>
      </w:r>
      <w:r>
        <w:rPr>
          <w:rStyle w:val="a7"/>
          <w:rFonts w:ascii="仿宋" w:eastAsia="仿宋" w:hAnsi="仿宋"/>
          <w:b w:val="0"/>
          <w:bCs/>
          <w:sz w:val="32"/>
          <w:szCs w:val="32"/>
        </w:rPr>
        <w:t>%</w:t>
      </w:r>
      <w:r>
        <w:rPr>
          <w:rStyle w:val="a7"/>
          <w:rFonts w:ascii="仿宋" w:eastAsia="仿宋" w:hAnsi="仿宋" w:hint="eastAsia"/>
          <w:b w:val="0"/>
          <w:bCs/>
          <w:sz w:val="32"/>
          <w:szCs w:val="32"/>
        </w:rPr>
        <w:t>。</w:t>
      </w:r>
      <w:r>
        <w:rPr>
          <w:rFonts w:ascii="仿宋_GB2312" w:eastAsia="仿宋_GB2312" w:hint="eastAsia"/>
          <w:sz w:val="32"/>
          <w:szCs w:val="32"/>
        </w:rPr>
        <w:t>公务用车购置及运行维护费支出决算比</w:t>
      </w:r>
      <w:r>
        <w:rPr>
          <w:rFonts w:ascii="仿宋_GB2312" w:eastAsia="仿宋_GB2312"/>
          <w:sz w:val="32"/>
          <w:szCs w:val="32"/>
        </w:rPr>
        <w:t>20</w:t>
      </w:r>
      <w:r>
        <w:rPr>
          <w:rFonts w:ascii="仿宋_GB2312" w:eastAsia="仿宋_GB2312" w:hint="eastAsia"/>
          <w:sz w:val="32"/>
          <w:szCs w:val="32"/>
        </w:rPr>
        <w:t>21</w:t>
      </w:r>
      <w:r>
        <w:rPr>
          <w:rFonts w:ascii="仿宋_GB2312" w:eastAsia="仿宋_GB2312" w:hint="eastAsia"/>
          <w:sz w:val="32"/>
          <w:szCs w:val="32"/>
        </w:rPr>
        <w:t>年减少</w:t>
      </w:r>
      <w:r>
        <w:rPr>
          <w:rFonts w:ascii="仿宋_GB2312" w:eastAsia="仿宋_GB2312" w:hint="eastAsia"/>
          <w:sz w:val="32"/>
          <w:szCs w:val="32"/>
        </w:rPr>
        <w:t>0.01</w:t>
      </w:r>
      <w:r>
        <w:rPr>
          <w:rFonts w:ascii="仿宋_GB2312" w:eastAsia="仿宋_GB2312" w:hint="eastAsia"/>
          <w:sz w:val="32"/>
          <w:szCs w:val="32"/>
        </w:rPr>
        <w:t>万元，下降</w:t>
      </w:r>
      <w:r>
        <w:rPr>
          <w:rFonts w:ascii="仿宋_GB2312" w:eastAsia="仿宋_GB2312" w:hint="eastAsia"/>
          <w:sz w:val="32"/>
          <w:szCs w:val="32"/>
        </w:rPr>
        <w:t>0.56</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Ansi="微软雅黑" w:cs="仿宋" w:hint="eastAsia"/>
          <w:sz w:val="32"/>
          <w:szCs w:val="32"/>
        </w:rPr>
        <w:t>厉行节约</w:t>
      </w:r>
      <w:r>
        <w:rPr>
          <w:rFonts w:ascii="仿宋_GB2312" w:eastAsia="仿宋_GB2312" w:hAnsi="仿宋" w:hint="eastAsia"/>
          <w:sz w:val="32"/>
          <w:szCs w:val="32"/>
        </w:rPr>
        <w:t>公务用车次数减少。</w:t>
      </w:r>
    </w:p>
    <w:p w:rsidR="00C86173" w:rsidRDefault="00CC65C4">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w:t>
      </w:r>
      <w:r>
        <w:rPr>
          <w:rFonts w:ascii="仿宋_GB2312" w:eastAsia="仿宋_GB2312" w:hint="eastAsia"/>
          <w:sz w:val="32"/>
          <w:szCs w:val="32"/>
        </w:rPr>
        <w:t>0</w:t>
      </w:r>
      <w:r>
        <w:rPr>
          <w:rFonts w:ascii="仿宋_GB2312" w:eastAsia="仿宋_GB2312" w:hint="eastAsia"/>
          <w:sz w:val="32"/>
          <w:szCs w:val="32"/>
        </w:rPr>
        <w:t>万元。全年按规定更新购置公务用车</w:t>
      </w:r>
      <w:r>
        <w:rPr>
          <w:rFonts w:ascii="仿宋_GB2312" w:eastAsia="仿宋_GB2312" w:hint="eastAsia"/>
          <w:sz w:val="32"/>
          <w:szCs w:val="32"/>
        </w:rPr>
        <w:t>0</w:t>
      </w:r>
      <w:r>
        <w:rPr>
          <w:rFonts w:ascii="仿宋_GB2312" w:eastAsia="仿宋_GB2312" w:hint="eastAsia"/>
          <w:sz w:val="32"/>
          <w:szCs w:val="32"/>
        </w:rPr>
        <w:t>辆，</w:t>
      </w:r>
      <w:r>
        <w:rPr>
          <w:rFonts w:ascii="仿宋_GB2312" w:eastAsia="仿宋_GB2312" w:hAnsi="仿宋" w:hint="eastAsia"/>
          <w:sz w:val="32"/>
          <w:szCs w:val="32"/>
        </w:rPr>
        <w:t>年初未安排预算，</w:t>
      </w:r>
      <w:r>
        <w:rPr>
          <w:rFonts w:ascii="仿宋_GB2312" w:eastAsia="仿宋_GB2312" w:hint="eastAsia"/>
          <w:sz w:val="32"/>
          <w:szCs w:val="32"/>
        </w:rPr>
        <w:t>公务用车购置支出决算</w:t>
      </w:r>
      <w:r>
        <w:rPr>
          <w:rFonts w:ascii="宋体" w:hAnsi="宋体" w:cs="宋体" w:hint="eastAsia"/>
          <w:sz w:val="32"/>
          <w:szCs w:val="32"/>
        </w:rPr>
        <w:t>较</w:t>
      </w:r>
      <w:r>
        <w:rPr>
          <w:rFonts w:ascii="仿宋_GB2312" w:eastAsia="仿宋_GB2312" w:hAnsi="仿宋" w:hint="eastAsia"/>
          <w:sz w:val="32"/>
          <w:szCs w:val="32"/>
        </w:rPr>
        <w:t>2021</w:t>
      </w:r>
      <w:r>
        <w:rPr>
          <w:rFonts w:ascii="仿宋_GB2312" w:eastAsia="仿宋_GB2312" w:hAnsi="仿宋" w:hint="eastAsia"/>
          <w:sz w:val="32"/>
          <w:szCs w:val="32"/>
        </w:rPr>
        <w:t>年无变化。</w:t>
      </w: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月底，单位共有公务用车</w:t>
      </w:r>
      <w:r>
        <w:rPr>
          <w:rFonts w:ascii="仿宋_GB2312" w:eastAsia="仿宋_GB2312" w:hint="eastAsia"/>
          <w:sz w:val="32"/>
          <w:szCs w:val="32"/>
        </w:rPr>
        <w:t>1</w:t>
      </w:r>
      <w:r>
        <w:rPr>
          <w:rFonts w:ascii="仿宋_GB2312" w:eastAsia="仿宋_GB2312" w:hint="eastAsia"/>
          <w:sz w:val="32"/>
          <w:szCs w:val="32"/>
        </w:rPr>
        <w:t>辆，其中：越野车</w:t>
      </w:r>
      <w:r>
        <w:rPr>
          <w:rFonts w:ascii="仿宋_GB2312" w:eastAsia="仿宋_GB2312" w:hint="eastAsia"/>
          <w:sz w:val="32"/>
          <w:szCs w:val="32"/>
        </w:rPr>
        <w:t>1</w:t>
      </w:r>
      <w:r>
        <w:rPr>
          <w:rFonts w:ascii="仿宋_GB2312" w:eastAsia="仿宋_GB2312" w:hint="eastAsia"/>
          <w:sz w:val="32"/>
          <w:szCs w:val="32"/>
        </w:rPr>
        <w:t>辆。</w:t>
      </w:r>
    </w:p>
    <w:p w:rsidR="00C86173" w:rsidRDefault="00CC65C4">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w:t>
      </w:r>
      <w:r>
        <w:rPr>
          <w:rFonts w:ascii="仿宋_GB2312" w:eastAsia="仿宋_GB2312" w:hint="eastAsia"/>
          <w:sz w:val="32"/>
          <w:szCs w:val="32"/>
        </w:rPr>
        <w:t>1.78</w:t>
      </w:r>
      <w:r>
        <w:rPr>
          <w:rFonts w:ascii="仿宋_GB2312" w:eastAsia="仿宋_GB2312" w:hint="eastAsia"/>
          <w:sz w:val="32"/>
          <w:szCs w:val="32"/>
        </w:rPr>
        <w:t>万元。主要用于</w:t>
      </w:r>
      <w:r>
        <w:rPr>
          <w:rFonts w:ascii="仿宋_GB2312" w:eastAsia="仿宋_GB2312" w:hAnsi="仿宋" w:hint="eastAsia"/>
          <w:sz w:val="32"/>
          <w:szCs w:val="32"/>
        </w:rPr>
        <w:t>乡村振兴工作及全市教学质量监测巡考工作</w:t>
      </w:r>
      <w:r>
        <w:rPr>
          <w:rFonts w:ascii="仿宋_GB2312" w:eastAsia="仿宋_GB2312" w:hint="eastAsia"/>
          <w:sz w:val="32"/>
          <w:szCs w:val="32"/>
        </w:rPr>
        <w:t>等所需的公务用车燃料费、维修费、过路过桥费、保险费等支出。</w:t>
      </w:r>
    </w:p>
    <w:p w:rsidR="00C86173" w:rsidRDefault="00CC65C4">
      <w:pPr>
        <w:spacing w:line="600" w:lineRule="exact"/>
        <w:ind w:firstLine="640"/>
        <w:rPr>
          <w:rFonts w:ascii="仿宋_GB2312" w:eastAsia="仿宋_GB2312" w:hAnsi="仿宋"/>
          <w:sz w:val="32"/>
          <w:szCs w:val="32"/>
        </w:rPr>
      </w:pPr>
      <w:r>
        <w:rPr>
          <w:rFonts w:ascii="仿宋_GB2312" w:eastAsia="仿宋_GB2312"/>
          <w:b/>
          <w:sz w:val="32"/>
          <w:szCs w:val="32"/>
        </w:rPr>
        <w:t>3.</w:t>
      </w:r>
      <w:r>
        <w:rPr>
          <w:rFonts w:ascii="仿宋_GB2312" w:eastAsia="仿宋_GB2312" w:hint="eastAsia"/>
          <w:b/>
          <w:sz w:val="32"/>
          <w:szCs w:val="32"/>
        </w:rPr>
        <w:t>公务接待费支出</w:t>
      </w:r>
      <w:r>
        <w:rPr>
          <w:rFonts w:ascii="仿宋_GB2312" w:eastAsia="仿宋_GB2312" w:hint="eastAsia"/>
          <w:sz w:val="32"/>
          <w:szCs w:val="32"/>
        </w:rPr>
        <w:t>0</w:t>
      </w:r>
      <w:r>
        <w:rPr>
          <w:rFonts w:ascii="仿宋_GB2312" w:eastAsia="仿宋_GB2312" w:hint="eastAsia"/>
          <w:sz w:val="32"/>
          <w:szCs w:val="32"/>
        </w:rPr>
        <w:t>万元，</w:t>
      </w:r>
      <w:r>
        <w:rPr>
          <w:rStyle w:val="a7"/>
          <w:rFonts w:ascii="仿宋_GB2312" w:eastAsia="仿宋_GB2312" w:hAnsi="仿宋" w:hint="eastAsia"/>
          <w:b w:val="0"/>
          <w:bCs/>
          <w:sz w:val="32"/>
          <w:szCs w:val="32"/>
        </w:rPr>
        <w:t>年初未安排预算</w:t>
      </w:r>
      <w:r>
        <w:rPr>
          <w:rStyle w:val="a7"/>
          <w:rFonts w:ascii="仿宋_GB2312" w:eastAsia="仿宋_GB2312" w:hAnsi="仿宋" w:hint="eastAsia"/>
          <w:bCs/>
          <w:sz w:val="32"/>
          <w:szCs w:val="32"/>
        </w:rPr>
        <w:t>，</w:t>
      </w:r>
      <w:r>
        <w:rPr>
          <w:rFonts w:ascii="仿宋_GB2312" w:eastAsia="仿宋_GB2312" w:hAnsi="仿宋" w:hint="eastAsia"/>
          <w:sz w:val="32"/>
          <w:szCs w:val="32"/>
        </w:rPr>
        <w:t>公务接待费支出决算与</w:t>
      </w:r>
      <w:r>
        <w:rPr>
          <w:rFonts w:ascii="仿宋_GB2312" w:eastAsia="仿宋_GB2312" w:hAnsi="仿宋" w:hint="eastAsia"/>
          <w:sz w:val="32"/>
          <w:szCs w:val="32"/>
        </w:rPr>
        <w:t>2021</w:t>
      </w:r>
      <w:r>
        <w:rPr>
          <w:rFonts w:ascii="仿宋_GB2312" w:eastAsia="仿宋_GB2312" w:hAnsi="仿宋" w:hint="eastAsia"/>
          <w:sz w:val="32"/>
          <w:szCs w:val="32"/>
        </w:rPr>
        <w:t>年相比较无变化。</w:t>
      </w:r>
      <w:r>
        <w:rPr>
          <w:rFonts w:ascii="仿宋_GB2312" w:eastAsia="仿宋_GB2312" w:hint="eastAsia"/>
          <w:sz w:val="32"/>
          <w:szCs w:val="32"/>
        </w:rPr>
        <w:t>其中：</w:t>
      </w:r>
    </w:p>
    <w:p w:rsidR="00C86173" w:rsidRDefault="00CC65C4">
      <w:pPr>
        <w:spacing w:line="600" w:lineRule="exact"/>
        <w:ind w:firstLine="640"/>
        <w:rPr>
          <w:rFonts w:ascii="仿宋_GB2312" w:eastAsia="仿宋_GB2312" w:hAnsi="仿宋"/>
          <w:sz w:val="32"/>
          <w:szCs w:val="32"/>
        </w:rPr>
      </w:pPr>
      <w:r>
        <w:rPr>
          <w:rFonts w:ascii="仿宋" w:eastAsia="仿宋" w:hAnsi="仿宋" w:hint="eastAsia"/>
          <w:b/>
          <w:sz w:val="32"/>
          <w:szCs w:val="32"/>
        </w:rPr>
        <w:lastRenderedPageBreak/>
        <w:t>国内公务接待支出</w:t>
      </w:r>
      <w:r>
        <w:rPr>
          <w:rFonts w:ascii="仿宋" w:eastAsia="仿宋" w:hAnsi="仿宋" w:hint="eastAsia"/>
          <w:sz w:val="32"/>
          <w:szCs w:val="32"/>
        </w:rPr>
        <w:t>0</w:t>
      </w:r>
      <w:r>
        <w:rPr>
          <w:rFonts w:ascii="仿宋_GB2312" w:eastAsia="仿宋_GB2312" w:hint="eastAsia"/>
          <w:sz w:val="32"/>
          <w:szCs w:val="32"/>
        </w:rPr>
        <w:t>万元，年初未安排预算，与上年数相比无变化。</w:t>
      </w:r>
    </w:p>
    <w:p w:rsidR="00C86173" w:rsidRDefault="00CC65C4">
      <w:pPr>
        <w:spacing w:line="600" w:lineRule="exact"/>
        <w:ind w:firstLine="640"/>
        <w:rPr>
          <w:rFonts w:ascii="仿宋_GB2312" w:eastAsia="仿宋_GB2312" w:hAnsi="仿宋"/>
          <w:sz w:val="32"/>
          <w:szCs w:val="32"/>
        </w:rPr>
      </w:pPr>
      <w:r>
        <w:rPr>
          <w:rFonts w:ascii="仿宋" w:eastAsia="仿宋" w:hAnsi="仿宋" w:hint="eastAsia"/>
          <w:b/>
          <w:sz w:val="32"/>
          <w:szCs w:val="32"/>
        </w:rPr>
        <w:t>外事接待支出</w:t>
      </w:r>
      <w:r>
        <w:rPr>
          <w:rFonts w:ascii="仿宋" w:eastAsia="仿宋" w:hAnsi="仿宋" w:hint="eastAsia"/>
          <w:sz w:val="32"/>
          <w:szCs w:val="32"/>
        </w:rPr>
        <w:t>0</w:t>
      </w:r>
      <w:r>
        <w:rPr>
          <w:rFonts w:ascii="仿宋_GB2312" w:eastAsia="仿宋_GB2312" w:hint="eastAsia"/>
          <w:sz w:val="32"/>
          <w:szCs w:val="32"/>
        </w:rPr>
        <w:t>万元，年初未安排预算，与上年数相比无变化。</w:t>
      </w:r>
    </w:p>
    <w:p w:rsidR="00C86173" w:rsidRDefault="00CC65C4">
      <w:pPr>
        <w:spacing w:line="600" w:lineRule="exact"/>
        <w:ind w:firstLine="640"/>
        <w:outlineLvl w:val="1"/>
        <w:rPr>
          <w:rStyle w:val="2Char"/>
          <w:rFonts w:ascii="黑体" w:eastAsia="黑体" w:hAnsi="黑体"/>
        </w:rPr>
      </w:pPr>
      <w:bookmarkStart w:id="63" w:name="_Toc15377218"/>
      <w:bookmarkStart w:id="64" w:name="_Toc145324378"/>
      <w:bookmarkStart w:id="65" w:name="_Toc15396610"/>
      <w:r>
        <w:rPr>
          <w:rFonts w:ascii="黑体" w:eastAsia="黑体" w:hint="eastAsia"/>
          <w:sz w:val="32"/>
          <w:szCs w:val="32"/>
        </w:rPr>
        <w:t>八、</w:t>
      </w:r>
      <w:r>
        <w:rPr>
          <w:rStyle w:val="2Char"/>
          <w:rFonts w:ascii="黑体" w:eastAsia="黑体" w:hAnsi="黑体" w:hint="eastAsia"/>
          <w:b w:val="0"/>
        </w:rPr>
        <w:t>政府性基金预算支出决算情况说明</w:t>
      </w:r>
      <w:bookmarkEnd w:id="63"/>
      <w:bookmarkEnd w:id="64"/>
      <w:bookmarkEnd w:id="65"/>
    </w:p>
    <w:p w:rsidR="00C86173" w:rsidRDefault="00CC65C4">
      <w:pPr>
        <w:spacing w:line="600" w:lineRule="exact"/>
        <w:ind w:firstLineChars="200" w:firstLine="640"/>
        <w:rPr>
          <w:rFonts w:ascii="仿宋_GB2312" w:eastAsia="仿宋_GB2312" w:hAnsi="仿宋"/>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年政府性基金预算财政拨款支出</w:t>
      </w:r>
      <w:r>
        <w:rPr>
          <w:rFonts w:ascii="仿宋_GB2312" w:eastAsia="仿宋_GB2312" w:hint="eastAsia"/>
          <w:sz w:val="32"/>
          <w:szCs w:val="32"/>
        </w:rPr>
        <w:t>0</w:t>
      </w:r>
      <w:r>
        <w:rPr>
          <w:rFonts w:ascii="仿宋_GB2312" w:eastAsia="仿宋_GB2312" w:hint="eastAsia"/>
          <w:sz w:val="32"/>
          <w:szCs w:val="32"/>
        </w:rPr>
        <w:t>万元。年初未安排预算，</w:t>
      </w:r>
      <w:r>
        <w:rPr>
          <w:rFonts w:ascii="仿宋_GB2312" w:eastAsia="仿宋_GB2312" w:hAnsi="楷体_GB2312" w:cs="楷体_GB2312" w:hint="eastAsia"/>
          <w:kern w:val="0"/>
          <w:sz w:val="32"/>
          <w:szCs w:val="32"/>
          <w:shd w:val="clear" w:color="auto" w:fill="FFFFFF"/>
        </w:rPr>
        <w:t>2022</w:t>
      </w:r>
      <w:r>
        <w:rPr>
          <w:rFonts w:ascii="仿宋_GB2312" w:eastAsia="仿宋_GB2312" w:hAnsi="楷体_GB2312" w:cs="楷体_GB2312" w:hint="eastAsia"/>
          <w:kern w:val="0"/>
          <w:sz w:val="32"/>
          <w:szCs w:val="32"/>
          <w:shd w:val="clear" w:color="auto" w:fill="FFFFFF"/>
        </w:rPr>
        <w:t>年本单位未在政府性基金预算拨款安排“三公经费”支出</w:t>
      </w:r>
      <w:r>
        <w:rPr>
          <w:rStyle w:val="a7"/>
          <w:rFonts w:ascii="仿宋_GB2312" w:eastAsia="仿宋_GB2312" w:hAnsi="仿宋" w:hint="eastAsia"/>
          <w:bCs/>
          <w:sz w:val="32"/>
          <w:szCs w:val="32"/>
        </w:rPr>
        <w:t>，</w:t>
      </w:r>
      <w:r>
        <w:rPr>
          <w:rFonts w:ascii="仿宋_GB2312" w:eastAsia="仿宋_GB2312" w:hAnsi="仿宋" w:hint="eastAsia"/>
          <w:sz w:val="32"/>
          <w:szCs w:val="32"/>
        </w:rPr>
        <w:t>与上年相比较无变化</w:t>
      </w:r>
      <w:r>
        <w:rPr>
          <w:rFonts w:ascii="仿宋_GB2312" w:eastAsia="仿宋_GB2312" w:hAnsi="楷体_GB2312" w:cs="楷体_GB2312" w:hint="eastAsia"/>
          <w:kern w:val="0"/>
          <w:sz w:val="32"/>
          <w:szCs w:val="32"/>
          <w:shd w:val="clear" w:color="auto" w:fill="FFFFFF"/>
        </w:rPr>
        <w:t>。</w:t>
      </w:r>
    </w:p>
    <w:p w:rsidR="00C86173" w:rsidRDefault="00CC65C4">
      <w:pPr>
        <w:numPr>
          <w:ilvl w:val="0"/>
          <w:numId w:val="3"/>
        </w:numPr>
        <w:spacing w:line="600" w:lineRule="exact"/>
        <w:ind w:firstLine="640"/>
        <w:outlineLvl w:val="1"/>
        <w:rPr>
          <w:rStyle w:val="2Char"/>
          <w:rFonts w:ascii="黑体" w:eastAsia="黑体" w:hAnsi="黑体"/>
          <w:b w:val="0"/>
        </w:rPr>
      </w:pPr>
      <w:bookmarkStart w:id="66" w:name="_Toc15396611"/>
      <w:bookmarkStart w:id="67" w:name="_Toc15377219"/>
      <w:bookmarkStart w:id="68" w:name="_Toc145324379"/>
      <w:r>
        <w:rPr>
          <w:rStyle w:val="2Char"/>
          <w:rFonts w:ascii="黑体" w:eastAsia="黑体" w:hAnsi="黑体" w:hint="eastAsia"/>
          <w:b w:val="0"/>
        </w:rPr>
        <w:t>国有资本经营预算支出决算情况说明</w:t>
      </w:r>
      <w:bookmarkEnd w:id="66"/>
      <w:bookmarkEnd w:id="67"/>
      <w:bookmarkEnd w:id="68"/>
    </w:p>
    <w:p w:rsidR="00C86173" w:rsidRDefault="00CC65C4">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22</w:t>
      </w:r>
      <w:r>
        <w:rPr>
          <w:rFonts w:ascii="仿宋_GB2312" w:eastAsia="仿宋_GB2312" w:hint="eastAsia"/>
          <w:sz w:val="32"/>
          <w:szCs w:val="32"/>
        </w:rPr>
        <w:t>年国有资本经营预算财政拨款支出</w:t>
      </w:r>
      <w:r>
        <w:rPr>
          <w:rFonts w:ascii="仿宋_GB2312" w:eastAsia="仿宋_GB2312" w:hint="eastAsia"/>
          <w:sz w:val="32"/>
          <w:szCs w:val="32"/>
        </w:rPr>
        <w:t>0</w:t>
      </w:r>
      <w:r>
        <w:rPr>
          <w:rFonts w:ascii="仿宋_GB2312" w:eastAsia="仿宋_GB2312" w:hint="eastAsia"/>
          <w:sz w:val="32"/>
          <w:szCs w:val="32"/>
        </w:rPr>
        <w:t>万元。</w:t>
      </w:r>
      <w:r>
        <w:rPr>
          <w:rStyle w:val="a7"/>
          <w:rFonts w:ascii="仿宋_GB2312" w:eastAsia="仿宋_GB2312" w:hAnsi="仿宋" w:hint="eastAsia"/>
          <w:b w:val="0"/>
          <w:bCs/>
          <w:sz w:val="32"/>
          <w:szCs w:val="32"/>
        </w:rPr>
        <w:t>年初未安排预算</w:t>
      </w:r>
      <w:r>
        <w:rPr>
          <w:rStyle w:val="a7"/>
          <w:rFonts w:ascii="仿宋_GB2312" w:eastAsia="仿宋_GB2312" w:hAnsi="仿宋" w:hint="eastAsia"/>
          <w:bCs/>
          <w:sz w:val="32"/>
          <w:szCs w:val="32"/>
        </w:rPr>
        <w:t>，</w:t>
      </w:r>
      <w:r>
        <w:rPr>
          <w:rFonts w:ascii="仿宋_GB2312" w:eastAsia="仿宋_GB2312" w:hAnsi="仿宋" w:hint="eastAsia"/>
          <w:sz w:val="32"/>
          <w:szCs w:val="32"/>
        </w:rPr>
        <w:t>与上年相比较无变化。</w:t>
      </w:r>
    </w:p>
    <w:p w:rsidR="00C86173" w:rsidRDefault="00CC65C4">
      <w:pPr>
        <w:numPr>
          <w:ilvl w:val="0"/>
          <w:numId w:val="3"/>
        </w:numPr>
        <w:spacing w:line="600" w:lineRule="exact"/>
        <w:ind w:firstLine="640"/>
        <w:outlineLvl w:val="1"/>
        <w:rPr>
          <w:rStyle w:val="2Char"/>
          <w:rFonts w:ascii="黑体" w:eastAsia="黑体" w:hAnsi="黑体"/>
          <w:b w:val="0"/>
        </w:rPr>
      </w:pPr>
      <w:bookmarkStart w:id="69" w:name="_Toc15396612"/>
      <w:bookmarkStart w:id="70" w:name="_Toc15377221"/>
      <w:bookmarkStart w:id="71" w:name="_Toc145324380"/>
      <w:r>
        <w:rPr>
          <w:rStyle w:val="2Char"/>
          <w:rFonts w:ascii="黑体" w:eastAsia="黑体" w:hAnsi="黑体" w:hint="eastAsia"/>
          <w:b w:val="0"/>
        </w:rPr>
        <w:t>其他重要事项的情况说明</w:t>
      </w:r>
      <w:bookmarkEnd w:id="69"/>
      <w:bookmarkEnd w:id="70"/>
      <w:bookmarkEnd w:id="71"/>
    </w:p>
    <w:p w:rsidR="00C86173" w:rsidRDefault="00CC65C4">
      <w:pPr>
        <w:spacing w:line="600" w:lineRule="exact"/>
        <w:ind w:firstLineChars="200" w:firstLine="643"/>
        <w:outlineLvl w:val="2"/>
        <w:rPr>
          <w:rFonts w:ascii="仿宋_GB2312" w:eastAsia="仿宋_GB2312" w:hAnsi="仿宋"/>
          <w:sz w:val="32"/>
          <w:szCs w:val="32"/>
        </w:rPr>
      </w:pPr>
      <w:bookmarkStart w:id="72" w:name="_Toc145324381"/>
      <w:bookmarkStart w:id="73" w:name="_Toc15377222"/>
      <w:r>
        <w:rPr>
          <w:rFonts w:ascii="仿宋_GB2312" w:eastAsia="仿宋_GB2312" w:hAnsi="仿宋" w:hint="eastAsia"/>
          <w:b/>
          <w:sz w:val="32"/>
          <w:szCs w:val="32"/>
        </w:rPr>
        <w:t>（一）机关运行经费支出情况</w:t>
      </w:r>
      <w:bookmarkEnd w:id="72"/>
      <w:bookmarkEnd w:id="73"/>
    </w:p>
    <w:p w:rsidR="00C86173" w:rsidRDefault="00CC65C4">
      <w:pPr>
        <w:spacing w:line="600" w:lineRule="exact"/>
        <w:ind w:firstLineChars="200" w:firstLine="640"/>
        <w:rPr>
          <w:rFonts w:ascii="仿宋_GB2312" w:eastAsia="仿宋_GB2312" w:hAnsi="仿宋"/>
          <w:b/>
          <w:sz w:val="32"/>
          <w:szCs w:val="32"/>
        </w:rPr>
      </w:pPr>
      <w:bookmarkStart w:id="74" w:name="_Toc15377223"/>
      <w:r>
        <w:rPr>
          <w:rFonts w:ascii="仿宋_GB2312" w:eastAsia="仿宋_GB2312" w:hAnsi="宋体" w:cs="宋体" w:hint="eastAsia"/>
          <w:kern w:val="0"/>
          <w:sz w:val="32"/>
          <w:szCs w:val="32"/>
        </w:rPr>
        <w:t>本单位为</w:t>
      </w:r>
      <w:r>
        <w:rPr>
          <w:rFonts w:ascii="仿宋_GB2312" w:eastAsia="仿宋_GB2312" w:cs="仿宋_GB2312" w:hint="eastAsia"/>
          <w:sz w:val="32"/>
          <w:szCs w:val="32"/>
        </w:rPr>
        <w:t>事业单位，</w:t>
      </w:r>
      <w:r>
        <w:rPr>
          <w:rFonts w:ascii="仿宋_GB2312" w:eastAsia="仿宋_GB2312" w:cs="仿宋_GB2312" w:hint="eastAsia"/>
          <w:sz w:val="32"/>
          <w:szCs w:val="32"/>
        </w:rPr>
        <w:t>2021</w:t>
      </w:r>
      <w:r>
        <w:rPr>
          <w:rFonts w:ascii="仿宋_GB2312" w:eastAsia="仿宋_GB2312" w:cs="仿宋_GB2312" w:hint="eastAsia"/>
          <w:sz w:val="32"/>
          <w:szCs w:val="32"/>
        </w:rPr>
        <w:t>年未发生机关运行经费支出</w:t>
      </w:r>
      <w:r>
        <w:rPr>
          <w:rFonts w:ascii="仿宋_GB2312" w:eastAsia="仿宋_GB2312" w:hAnsi="仿宋_GB2312" w:cs="仿宋_GB2312" w:hint="eastAsia"/>
          <w:sz w:val="32"/>
        </w:rPr>
        <w:t>，</w:t>
      </w:r>
      <w:r>
        <w:rPr>
          <w:rFonts w:ascii="仿宋_GB2312" w:eastAsia="仿宋_GB2312" w:hint="eastAsia"/>
          <w:sz w:val="32"/>
          <w:szCs w:val="32"/>
        </w:rPr>
        <w:t>与</w:t>
      </w:r>
      <w:r>
        <w:rPr>
          <w:rFonts w:ascii="仿宋_GB2312" w:eastAsia="仿宋_GB2312" w:hint="eastAsia"/>
          <w:sz w:val="32"/>
          <w:szCs w:val="32"/>
        </w:rPr>
        <w:t>2021</w:t>
      </w:r>
      <w:r>
        <w:rPr>
          <w:rFonts w:ascii="仿宋_GB2312" w:eastAsia="仿宋_GB2312" w:hint="eastAsia"/>
          <w:sz w:val="32"/>
          <w:szCs w:val="32"/>
        </w:rPr>
        <w:t>年决算数持平。</w:t>
      </w:r>
    </w:p>
    <w:p w:rsidR="00C86173" w:rsidRDefault="00CC65C4">
      <w:pPr>
        <w:autoSpaceDE w:val="0"/>
        <w:autoSpaceDN w:val="0"/>
        <w:adjustRightInd w:val="0"/>
        <w:spacing w:line="600" w:lineRule="exact"/>
        <w:ind w:firstLineChars="200" w:firstLine="643"/>
        <w:jc w:val="left"/>
        <w:outlineLvl w:val="2"/>
        <w:rPr>
          <w:rFonts w:ascii="仿宋_GB2312" w:eastAsia="仿宋_GB2312" w:hAnsi="仿宋"/>
          <w:b/>
          <w:sz w:val="32"/>
          <w:szCs w:val="32"/>
        </w:rPr>
      </w:pPr>
      <w:bookmarkStart w:id="75" w:name="_Toc145324382"/>
      <w:r>
        <w:rPr>
          <w:rFonts w:ascii="仿宋_GB2312" w:eastAsia="仿宋_GB2312" w:hAnsi="仿宋" w:hint="eastAsia"/>
          <w:b/>
          <w:sz w:val="32"/>
          <w:szCs w:val="32"/>
        </w:rPr>
        <w:t>（二）政府采购支出情况</w:t>
      </w:r>
      <w:bookmarkEnd w:id="74"/>
      <w:bookmarkEnd w:id="75"/>
    </w:p>
    <w:p w:rsidR="00C86173" w:rsidRDefault="00CC65C4">
      <w:pPr>
        <w:spacing w:line="600" w:lineRule="exact"/>
        <w:ind w:firstLineChars="200" w:firstLine="640"/>
        <w:rPr>
          <w:rFonts w:ascii="仿宋_GB2312" w:eastAsia="仿宋_GB2312"/>
          <w:sz w:val="32"/>
          <w:szCs w:val="32"/>
        </w:rPr>
      </w:pPr>
      <w:r>
        <w:rPr>
          <w:rFonts w:ascii="仿宋_GB2312" w:eastAsia="仿宋_GB2312" w:hint="eastAsia"/>
          <w:sz w:val="32"/>
          <w:szCs w:val="32"/>
        </w:rPr>
        <w:t>2022</w:t>
      </w:r>
      <w:r>
        <w:rPr>
          <w:rFonts w:ascii="仿宋_GB2312" w:eastAsia="仿宋_GB2312" w:hint="eastAsia"/>
          <w:sz w:val="32"/>
          <w:szCs w:val="32"/>
        </w:rPr>
        <w:t>年，本单位政府采购支出总额</w:t>
      </w:r>
      <w:r>
        <w:rPr>
          <w:rFonts w:ascii="仿宋_GB2312" w:eastAsia="仿宋_GB2312" w:hint="eastAsia"/>
          <w:sz w:val="32"/>
          <w:szCs w:val="32"/>
        </w:rPr>
        <w:t>33.6</w:t>
      </w:r>
      <w:r>
        <w:rPr>
          <w:rFonts w:ascii="仿宋_GB2312" w:eastAsia="仿宋_GB2312" w:hint="eastAsia"/>
          <w:sz w:val="32"/>
          <w:szCs w:val="32"/>
        </w:rPr>
        <w:t>万元，其中：政府采购货物支出</w:t>
      </w:r>
      <w:r>
        <w:rPr>
          <w:rFonts w:ascii="仿宋_GB2312" w:eastAsia="仿宋_GB2312" w:hint="eastAsia"/>
          <w:sz w:val="32"/>
          <w:szCs w:val="32"/>
        </w:rPr>
        <w:t>33.6</w:t>
      </w:r>
      <w:r>
        <w:rPr>
          <w:rFonts w:ascii="仿宋_GB2312" w:eastAsia="仿宋_GB2312" w:hint="eastAsia"/>
          <w:sz w:val="32"/>
          <w:szCs w:val="32"/>
        </w:rPr>
        <w:t>万元。主要用于</w:t>
      </w:r>
      <w:r>
        <w:rPr>
          <w:rFonts w:ascii="仿宋_GB2312" w:eastAsia="仿宋_GB2312" w:hAnsi="仿宋" w:hint="eastAsia"/>
          <w:sz w:val="32"/>
          <w:szCs w:val="32"/>
        </w:rPr>
        <w:t>全市教学质量监测试卷印刷</w:t>
      </w:r>
      <w:r>
        <w:rPr>
          <w:rFonts w:ascii="仿宋_GB2312" w:eastAsia="仿宋_GB2312" w:hAnsi="仿宋" w:hint="eastAsia"/>
          <w:sz w:val="32"/>
          <w:szCs w:val="32"/>
        </w:rPr>
        <w:t>16</w:t>
      </w:r>
      <w:r>
        <w:rPr>
          <w:rFonts w:ascii="仿宋_GB2312" w:eastAsia="仿宋_GB2312" w:hAnsi="仿宋" w:hint="eastAsia"/>
          <w:sz w:val="32"/>
          <w:szCs w:val="32"/>
        </w:rPr>
        <w:t>批次，计</w:t>
      </w:r>
      <w:r>
        <w:rPr>
          <w:rFonts w:ascii="仿宋_GB2312" w:eastAsia="仿宋_GB2312" w:hAnsi="仿宋" w:hint="eastAsia"/>
          <w:sz w:val="32"/>
          <w:szCs w:val="32"/>
        </w:rPr>
        <w:t>33.41</w:t>
      </w:r>
      <w:r>
        <w:rPr>
          <w:rFonts w:ascii="仿宋_GB2312" w:eastAsia="仿宋_GB2312" w:hAnsi="仿宋" w:hint="eastAsia"/>
          <w:sz w:val="32"/>
          <w:szCs w:val="32"/>
        </w:rPr>
        <w:t>万元；购置办公桌椅</w:t>
      </w:r>
      <w:r>
        <w:rPr>
          <w:rFonts w:ascii="仿宋_GB2312" w:eastAsia="仿宋_GB2312" w:hAnsi="仿宋" w:hint="eastAsia"/>
          <w:sz w:val="32"/>
          <w:szCs w:val="32"/>
        </w:rPr>
        <w:t>2</w:t>
      </w:r>
      <w:r>
        <w:rPr>
          <w:rFonts w:ascii="仿宋_GB2312" w:eastAsia="仿宋_GB2312" w:hAnsi="仿宋" w:hint="eastAsia"/>
          <w:sz w:val="32"/>
          <w:szCs w:val="32"/>
        </w:rPr>
        <w:t>套，计</w:t>
      </w:r>
      <w:r>
        <w:rPr>
          <w:rFonts w:ascii="仿宋_GB2312" w:eastAsia="仿宋_GB2312" w:hAnsi="仿宋" w:hint="eastAsia"/>
          <w:sz w:val="32"/>
          <w:szCs w:val="32"/>
        </w:rPr>
        <w:t>0.19</w:t>
      </w:r>
      <w:r>
        <w:rPr>
          <w:rFonts w:ascii="仿宋_GB2312" w:eastAsia="仿宋_GB2312" w:hAnsi="仿宋" w:hint="eastAsia"/>
          <w:sz w:val="32"/>
          <w:szCs w:val="32"/>
        </w:rPr>
        <w:t>万元，</w:t>
      </w:r>
      <w:r>
        <w:rPr>
          <w:rFonts w:ascii="仿宋_GB2312" w:eastAsia="仿宋_GB2312" w:hint="eastAsia"/>
          <w:sz w:val="32"/>
          <w:szCs w:val="32"/>
        </w:rPr>
        <w:t>用于新进人员正常办公使用。授予中小企业合同金额</w:t>
      </w:r>
      <w:r>
        <w:rPr>
          <w:rFonts w:ascii="仿宋_GB2312" w:eastAsia="仿宋_GB2312" w:hint="eastAsia"/>
          <w:sz w:val="32"/>
          <w:szCs w:val="32"/>
        </w:rPr>
        <w:t>33.43</w:t>
      </w:r>
      <w:r>
        <w:rPr>
          <w:rFonts w:ascii="仿宋_GB2312" w:eastAsia="仿宋_GB2312" w:hint="eastAsia"/>
          <w:sz w:val="32"/>
          <w:szCs w:val="32"/>
        </w:rPr>
        <w:t>万元，占政府采购支出总额的</w:t>
      </w:r>
      <w:r>
        <w:rPr>
          <w:rFonts w:ascii="仿宋_GB2312" w:eastAsia="仿宋_GB2312" w:hint="eastAsia"/>
          <w:sz w:val="32"/>
          <w:szCs w:val="32"/>
        </w:rPr>
        <w:t>100%</w:t>
      </w:r>
      <w:r>
        <w:rPr>
          <w:rFonts w:ascii="仿宋_GB2312" w:eastAsia="仿宋_GB2312" w:hint="eastAsia"/>
          <w:sz w:val="32"/>
          <w:szCs w:val="32"/>
        </w:rPr>
        <w:t>，其中：授予小微企业合同金额</w:t>
      </w:r>
      <w:r>
        <w:rPr>
          <w:rFonts w:ascii="仿宋_GB2312" w:eastAsia="仿宋_GB2312" w:hint="eastAsia"/>
          <w:sz w:val="32"/>
          <w:szCs w:val="32"/>
        </w:rPr>
        <w:t>0</w:t>
      </w:r>
      <w:r>
        <w:rPr>
          <w:rFonts w:ascii="仿宋_GB2312" w:eastAsia="仿宋_GB2312" w:hint="eastAsia"/>
          <w:sz w:val="32"/>
          <w:szCs w:val="32"/>
        </w:rPr>
        <w:t>万元，占政府采购支出总额的</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Ansi="仿宋" w:hint="eastAsia"/>
          <w:sz w:val="32"/>
          <w:szCs w:val="32"/>
        </w:rPr>
        <w:t>与</w:t>
      </w:r>
      <w:r>
        <w:rPr>
          <w:rFonts w:ascii="仿宋_GB2312" w:eastAsia="仿宋_GB2312" w:hAnsi="仿宋" w:hint="eastAsia"/>
          <w:sz w:val="32"/>
          <w:szCs w:val="32"/>
        </w:rPr>
        <w:t>2021</w:t>
      </w:r>
      <w:r>
        <w:rPr>
          <w:rFonts w:ascii="仿宋_GB2312" w:eastAsia="仿宋_GB2312" w:hAnsi="仿宋" w:hint="eastAsia"/>
          <w:sz w:val="32"/>
          <w:szCs w:val="32"/>
        </w:rPr>
        <w:t>年</w:t>
      </w:r>
      <w:r>
        <w:rPr>
          <w:rFonts w:ascii="仿宋_GB2312" w:eastAsia="仿宋_GB2312" w:hint="eastAsia"/>
          <w:sz w:val="32"/>
          <w:szCs w:val="32"/>
        </w:rPr>
        <w:t>政府采购支出总额</w:t>
      </w:r>
      <w:r>
        <w:rPr>
          <w:rFonts w:ascii="仿宋_GB2312" w:eastAsia="仿宋_GB2312" w:hAnsi="仿宋" w:hint="eastAsia"/>
          <w:sz w:val="32"/>
          <w:szCs w:val="32"/>
        </w:rPr>
        <w:t>相比减少</w:t>
      </w:r>
      <w:r>
        <w:rPr>
          <w:rFonts w:ascii="仿宋_GB2312" w:eastAsia="仿宋_GB2312" w:hAnsi="仿宋" w:hint="eastAsia"/>
          <w:sz w:val="32"/>
          <w:szCs w:val="32"/>
        </w:rPr>
        <w:t>1.07</w:t>
      </w:r>
      <w:r>
        <w:rPr>
          <w:rFonts w:ascii="仿宋_GB2312" w:eastAsia="仿宋_GB2312" w:hAnsi="仿宋" w:hint="eastAsia"/>
          <w:sz w:val="32"/>
          <w:szCs w:val="32"/>
        </w:rPr>
        <w:t>万元，下降</w:t>
      </w:r>
      <w:r>
        <w:rPr>
          <w:rFonts w:ascii="仿宋_GB2312" w:eastAsia="仿宋_GB2312" w:hAnsi="仿宋" w:hint="eastAsia"/>
          <w:sz w:val="32"/>
          <w:szCs w:val="32"/>
        </w:rPr>
        <w:t>3.18%</w:t>
      </w:r>
      <w:r>
        <w:rPr>
          <w:rFonts w:ascii="仿宋_GB2312" w:eastAsia="仿宋_GB2312" w:hAnsi="仿宋" w:hint="eastAsia"/>
          <w:sz w:val="32"/>
          <w:szCs w:val="32"/>
        </w:rPr>
        <w:t>，</w:t>
      </w:r>
      <w:r>
        <w:rPr>
          <w:rFonts w:ascii="仿宋_GB2312" w:eastAsia="仿宋_GB2312" w:hAnsi="仿宋" w:hint="eastAsia"/>
          <w:sz w:val="32"/>
          <w:szCs w:val="32"/>
        </w:rPr>
        <w:lastRenderedPageBreak/>
        <w:t>主要原因为学生参考人数减少，试卷印刷量减少导致费用减少。</w:t>
      </w:r>
    </w:p>
    <w:p w:rsidR="00C86173" w:rsidRDefault="00CC65C4">
      <w:pPr>
        <w:autoSpaceDE w:val="0"/>
        <w:autoSpaceDN w:val="0"/>
        <w:adjustRightInd w:val="0"/>
        <w:spacing w:line="600" w:lineRule="exact"/>
        <w:ind w:firstLineChars="200" w:firstLine="643"/>
        <w:jc w:val="left"/>
        <w:outlineLvl w:val="2"/>
        <w:rPr>
          <w:rFonts w:ascii="仿宋_GB2312" w:eastAsia="仿宋_GB2312" w:hAnsi="仿宋"/>
          <w:b/>
          <w:sz w:val="32"/>
          <w:szCs w:val="32"/>
        </w:rPr>
      </w:pPr>
      <w:bookmarkStart w:id="76" w:name="_Toc15377224"/>
      <w:bookmarkStart w:id="77" w:name="_Toc145324383"/>
      <w:r>
        <w:rPr>
          <w:rFonts w:ascii="仿宋_GB2312" w:eastAsia="仿宋_GB2312" w:hAnsi="仿宋" w:hint="eastAsia"/>
          <w:b/>
          <w:sz w:val="32"/>
          <w:szCs w:val="32"/>
        </w:rPr>
        <w:t>（三）国有资产占有使用情况</w:t>
      </w:r>
      <w:bookmarkEnd w:id="76"/>
      <w:bookmarkEnd w:id="77"/>
    </w:p>
    <w:p w:rsidR="00C86173" w:rsidRDefault="00CC65C4">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hint="eastAsia"/>
          <w:sz w:val="32"/>
          <w:szCs w:val="32"/>
        </w:rPr>
        <w:t>2022</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日，本单位共有车辆</w:t>
      </w:r>
      <w:r>
        <w:rPr>
          <w:rFonts w:ascii="仿宋_GB2312" w:eastAsia="仿宋_GB2312" w:hint="eastAsia"/>
          <w:sz w:val="32"/>
          <w:szCs w:val="32"/>
        </w:rPr>
        <w:t>1</w:t>
      </w:r>
      <w:r>
        <w:rPr>
          <w:rFonts w:ascii="仿宋_GB2312" w:eastAsia="仿宋_GB2312" w:hint="eastAsia"/>
          <w:sz w:val="32"/>
          <w:szCs w:val="32"/>
        </w:rPr>
        <w:t>辆，其中：其他用车</w:t>
      </w:r>
      <w:r>
        <w:rPr>
          <w:rFonts w:ascii="仿宋_GB2312" w:eastAsia="仿宋_GB2312" w:hint="eastAsia"/>
          <w:sz w:val="32"/>
          <w:szCs w:val="32"/>
        </w:rPr>
        <w:t>1</w:t>
      </w:r>
      <w:r>
        <w:rPr>
          <w:rFonts w:ascii="仿宋_GB2312" w:eastAsia="仿宋_GB2312" w:hint="eastAsia"/>
          <w:sz w:val="32"/>
          <w:szCs w:val="32"/>
        </w:rPr>
        <w:t>辆，其他用车主要是用于</w:t>
      </w:r>
      <w:r>
        <w:rPr>
          <w:rFonts w:ascii="仿宋_GB2312" w:eastAsia="仿宋_GB2312" w:hAnsi="仿宋" w:hint="eastAsia"/>
          <w:sz w:val="32"/>
          <w:szCs w:val="32"/>
        </w:rPr>
        <w:t>乡村振兴工作及教学质量监测巡考、调研工作等所需的公务用车。单价</w:t>
      </w:r>
      <w:r>
        <w:rPr>
          <w:rFonts w:ascii="仿宋_GB2312" w:eastAsia="仿宋_GB2312" w:hAnsi="仿宋" w:hint="eastAsia"/>
          <w:sz w:val="32"/>
          <w:szCs w:val="32"/>
        </w:rPr>
        <w:t>50</w:t>
      </w:r>
      <w:r>
        <w:rPr>
          <w:rFonts w:ascii="仿宋_GB2312" w:eastAsia="仿宋_GB2312" w:hAnsi="仿宋" w:hint="eastAsia"/>
          <w:sz w:val="32"/>
          <w:szCs w:val="32"/>
        </w:rPr>
        <w:t>万元以上通用设备</w:t>
      </w:r>
      <w:r>
        <w:rPr>
          <w:rFonts w:ascii="仿宋_GB2312" w:eastAsia="仿宋_GB2312" w:hAnsi="仿宋" w:hint="eastAsia"/>
          <w:sz w:val="32"/>
          <w:szCs w:val="32"/>
        </w:rPr>
        <w:t>0</w:t>
      </w:r>
      <w:r>
        <w:rPr>
          <w:rFonts w:ascii="仿宋_GB2312" w:eastAsia="仿宋_GB2312" w:hAnsi="仿宋" w:hint="eastAsia"/>
          <w:sz w:val="32"/>
          <w:szCs w:val="32"/>
        </w:rPr>
        <w:t>台</w:t>
      </w:r>
      <w:r>
        <w:rPr>
          <w:rFonts w:ascii="仿宋_GB2312" w:eastAsia="仿宋_GB2312" w:hint="eastAsia"/>
          <w:sz w:val="32"/>
          <w:szCs w:val="32"/>
        </w:rPr>
        <w:t>（套）</w:t>
      </w:r>
      <w:r>
        <w:rPr>
          <w:rFonts w:ascii="仿宋_GB2312" w:eastAsia="仿宋_GB2312" w:hAnsi="仿宋" w:hint="eastAsia"/>
          <w:sz w:val="32"/>
          <w:szCs w:val="32"/>
        </w:rPr>
        <w:t>、单价</w:t>
      </w:r>
      <w:r>
        <w:rPr>
          <w:rFonts w:ascii="仿宋_GB2312" w:eastAsia="仿宋_GB2312" w:hAnsi="仿宋" w:hint="eastAsia"/>
          <w:sz w:val="32"/>
          <w:szCs w:val="32"/>
        </w:rPr>
        <w:t>100</w:t>
      </w:r>
      <w:r>
        <w:rPr>
          <w:rFonts w:ascii="仿宋_GB2312" w:eastAsia="仿宋_GB2312" w:hAnsi="仿宋" w:hint="eastAsia"/>
          <w:sz w:val="32"/>
          <w:szCs w:val="32"/>
        </w:rPr>
        <w:t>万元以上专用设备</w:t>
      </w:r>
      <w:r>
        <w:rPr>
          <w:rFonts w:ascii="仿宋_GB2312" w:eastAsia="仿宋_GB2312" w:hAnsi="仿宋" w:hint="eastAsia"/>
          <w:sz w:val="32"/>
          <w:szCs w:val="32"/>
        </w:rPr>
        <w:t>0</w:t>
      </w:r>
      <w:r>
        <w:rPr>
          <w:rFonts w:ascii="仿宋_GB2312" w:eastAsia="仿宋_GB2312" w:hAnsi="仿宋" w:hint="eastAsia"/>
          <w:sz w:val="32"/>
          <w:szCs w:val="32"/>
        </w:rPr>
        <w:t>台</w:t>
      </w:r>
      <w:r>
        <w:rPr>
          <w:rFonts w:ascii="仿宋_GB2312" w:eastAsia="仿宋_GB2312" w:hint="eastAsia"/>
          <w:sz w:val="32"/>
          <w:szCs w:val="32"/>
        </w:rPr>
        <w:t>（套）。</w:t>
      </w:r>
    </w:p>
    <w:p w:rsidR="00C86173" w:rsidRDefault="00CC65C4">
      <w:pPr>
        <w:autoSpaceDE w:val="0"/>
        <w:autoSpaceDN w:val="0"/>
        <w:adjustRightInd w:val="0"/>
        <w:spacing w:line="600" w:lineRule="exact"/>
        <w:ind w:firstLineChars="200" w:firstLine="643"/>
        <w:jc w:val="left"/>
        <w:outlineLvl w:val="2"/>
        <w:rPr>
          <w:rFonts w:ascii="仿宋_GB2312" w:eastAsia="仿宋_GB2312" w:hAnsi="仿宋"/>
          <w:b/>
          <w:sz w:val="32"/>
          <w:szCs w:val="32"/>
        </w:rPr>
      </w:pPr>
      <w:bookmarkStart w:id="78" w:name="_Toc145324384"/>
      <w:r>
        <w:rPr>
          <w:rFonts w:ascii="仿宋_GB2312" w:eastAsia="仿宋_GB2312" w:hAnsi="仿宋" w:hint="eastAsia"/>
          <w:b/>
          <w:sz w:val="32"/>
          <w:szCs w:val="32"/>
        </w:rPr>
        <w:t>（四）预算绩效管理情况</w:t>
      </w:r>
      <w:bookmarkEnd w:id="78"/>
    </w:p>
    <w:p w:rsidR="00C86173" w:rsidRDefault="00CC65C4">
      <w:pPr>
        <w:pStyle w:val="a3"/>
        <w:spacing w:before="93"/>
        <w:ind w:firstLineChars="200" w:firstLine="640"/>
        <w:rPr>
          <w:rFonts w:hAnsi="仿宋_GB2312" w:cs="仿宋_GB2312"/>
          <w:sz w:val="32"/>
          <w:szCs w:val="32"/>
        </w:rPr>
      </w:pPr>
      <w:r>
        <w:rPr>
          <w:rFonts w:hAnsi="仿宋_GB2312" w:cs="仿宋_GB2312" w:hint="eastAsia"/>
          <w:sz w:val="32"/>
          <w:szCs w:val="32"/>
        </w:rPr>
        <w:t>根据预算绩效管理要求，本单位在</w:t>
      </w:r>
      <w:r>
        <w:rPr>
          <w:rFonts w:hAnsi="仿宋_GB2312" w:cs="仿宋_GB2312" w:hint="eastAsia"/>
          <w:sz w:val="32"/>
          <w:szCs w:val="32"/>
        </w:rPr>
        <w:t>2022</w:t>
      </w:r>
      <w:r>
        <w:rPr>
          <w:rFonts w:hAnsi="仿宋_GB2312" w:cs="仿宋_GB2312" w:hint="eastAsia"/>
          <w:sz w:val="32"/>
          <w:szCs w:val="32"/>
        </w:rPr>
        <w:t>年度预算编制阶段，组织对</w:t>
      </w:r>
      <w:r>
        <w:rPr>
          <w:rFonts w:hAnsi="仿宋" w:hint="eastAsia"/>
          <w:sz w:val="32"/>
          <w:szCs w:val="32"/>
        </w:rPr>
        <w:t>单位</w:t>
      </w:r>
      <w:r>
        <w:rPr>
          <w:rFonts w:hAnsi="宋体" w:cs="宋体" w:hint="eastAsia"/>
          <w:sz w:val="32"/>
          <w:szCs w:val="32"/>
        </w:rPr>
        <w:t>工资性支出、离退休费支出、其他公用经费（福利、工会、公车补贴、党建、退休活动）</w:t>
      </w:r>
      <w:r>
        <w:rPr>
          <w:rFonts w:hAnsi="宋体" w:cs="宋体" w:hint="eastAsia"/>
          <w:sz w:val="32"/>
          <w:szCs w:val="32"/>
        </w:rPr>
        <w:t>、定额公用经费（事业）、</w:t>
      </w:r>
      <w:r>
        <w:rPr>
          <w:rFonts w:hAnsi="仿宋_GB2312" w:cs="仿宋_GB2312" w:hint="eastAsia"/>
          <w:sz w:val="32"/>
          <w:szCs w:val="32"/>
        </w:rPr>
        <w:t>乡村振兴工作经费、</w:t>
      </w:r>
      <w:r>
        <w:rPr>
          <w:rStyle w:val="a7"/>
          <w:rFonts w:hAnsi="仿宋" w:hint="eastAsia"/>
          <w:b w:val="0"/>
          <w:bCs/>
          <w:sz w:val="32"/>
          <w:szCs w:val="32"/>
        </w:rPr>
        <w:t>全市教学质量监测</w:t>
      </w:r>
      <w:r>
        <w:rPr>
          <w:rFonts w:hAnsi="仿宋_GB2312" w:cs="仿宋_GB2312" w:hint="eastAsia"/>
          <w:sz w:val="32"/>
          <w:szCs w:val="32"/>
        </w:rPr>
        <w:t>、教学大比武等</w:t>
      </w:r>
      <w:r>
        <w:rPr>
          <w:rFonts w:hAnsi="仿宋_GB2312" w:cs="仿宋_GB2312" w:hint="eastAsia"/>
          <w:sz w:val="32"/>
          <w:szCs w:val="32"/>
        </w:rPr>
        <w:t>13</w:t>
      </w:r>
      <w:r>
        <w:rPr>
          <w:rFonts w:hAnsi="仿宋_GB2312" w:cs="仿宋_GB2312" w:hint="eastAsia"/>
          <w:sz w:val="32"/>
          <w:szCs w:val="32"/>
        </w:rPr>
        <w:t>个项目开展了预算事前绩效评估，对</w:t>
      </w:r>
      <w:r>
        <w:rPr>
          <w:rFonts w:hAnsi="仿宋_GB2312" w:cs="仿宋_GB2312" w:hint="eastAsia"/>
          <w:sz w:val="32"/>
          <w:szCs w:val="32"/>
        </w:rPr>
        <w:t>13</w:t>
      </w:r>
      <w:r>
        <w:rPr>
          <w:rFonts w:hAnsi="仿宋_GB2312" w:cs="仿宋_GB2312" w:hint="eastAsia"/>
          <w:sz w:val="32"/>
          <w:szCs w:val="32"/>
        </w:rPr>
        <w:t>个项目编制了绩效目标，预算执行过程中，选取</w:t>
      </w:r>
      <w:r>
        <w:rPr>
          <w:rFonts w:hAnsi="仿宋_GB2312" w:cs="仿宋_GB2312" w:hint="eastAsia"/>
          <w:sz w:val="32"/>
          <w:szCs w:val="32"/>
        </w:rPr>
        <w:t>13</w:t>
      </w:r>
      <w:r>
        <w:rPr>
          <w:rFonts w:hAnsi="仿宋_GB2312" w:cs="仿宋_GB2312" w:hint="eastAsia"/>
          <w:sz w:val="32"/>
          <w:szCs w:val="32"/>
        </w:rPr>
        <w:t>个项目开展绩效监控，组织对</w:t>
      </w:r>
      <w:r>
        <w:rPr>
          <w:rFonts w:hAnsi="仿宋_GB2312" w:cs="仿宋_GB2312" w:hint="eastAsia"/>
          <w:sz w:val="32"/>
          <w:szCs w:val="32"/>
        </w:rPr>
        <w:t>13</w:t>
      </w:r>
      <w:r>
        <w:rPr>
          <w:rFonts w:hAnsi="仿宋_GB2312" w:cs="仿宋_GB2312" w:hint="eastAsia"/>
          <w:sz w:val="32"/>
          <w:szCs w:val="32"/>
        </w:rPr>
        <w:t>个项目开展绩效自评，绩效自评表详见第四部分附件。</w:t>
      </w:r>
    </w:p>
    <w:p w:rsidR="00C86173" w:rsidRDefault="00C86173">
      <w:pPr>
        <w:pStyle w:val="a3"/>
        <w:spacing w:before="93"/>
        <w:ind w:firstLineChars="200" w:firstLine="643"/>
        <w:rPr>
          <w:b/>
          <w:sz w:val="32"/>
          <w:szCs w:val="32"/>
        </w:rPr>
      </w:pPr>
    </w:p>
    <w:p w:rsidR="00C86173" w:rsidRDefault="00CC65C4">
      <w:pPr>
        <w:numPr>
          <w:ilvl w:val="0"/>
          <w:numId w:val="4"/>
        </w:numPr>
        <w:spacing w:line="600" w:lineRule="exact"/>
        <w:ind w:firstLineChars="150" w:firstLine="660"/>
        <w:jc w:val="center"/>
        <w:outlineLvl w:val="0"/>
        <w:rPr>
          <w:rStyle w:val="1Char"/>
          <w:rFonts w:ascii="黑体" w:eastAsia="黑体" w:hAnsi="黑体"/>
          <w:b w:val="0"/>
        </w:rPr>
      </w:pPr>
      <w:bookmarkStart w:id="79" w:name="_Toc15396613"/>
      <w:bookmarkStart w:id="80" w:name="_Toc15377225"/>
      <w:bookmarkStart w:id="81" w:name="_Toc145324385"/>
      <w:r>
        <w:rPr>
          <w:rFonts w:ascii="黑体" w:eastAsia="黑体" w:hAnsi="黑体" w:hint="eastAsia"/>
          <w:sz w:val="44"/>
          <w:szCs w:val="44"/>
        </w:rPr>
        <w:t>名</w:t>
      </w:r>
      <w:r>
        <w:rPr>
          <w:rStyle w:val="1Char"/>
          <w:rFonts w:ascii="黑体" w:eastAsia="黑体" w:hAnsi="黑体" w:hint="eastAsia"/>
          <w:b w:val="0"/>
        </w:rPr>
        <w:t>词解释</w:t>
      </w:r>
      <w:bookmarkEnd w:id="79"/>
      <w:bookmarkEnd w:id="80"/>
      <w:bookmarkEnd w:id="81"/>
    </w:p>
    <w:p w:rsidR="00C86173" w:rsidRDefault="00C86173">
      <w:pPr>
        <w:spacing w:line="600" w:lineRule="exact"/>
        <w:jc w:val="left"/>
        <w:rPr>
          <w:rFonts w:ascii="宋体"/>
          <w:b/>
          <w:sz w:val="44"/>
          <w:szCs w:val="44"/>
        </w:rPr>
      </w:pPr>
    </w:p>
    <w:p w:rsidR="00C86173" w:rsidRDefault="00CC65C4">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C86173" w:rsidRDefault="00CC65C4">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w:t>
      </w:r>
      <w:r>
        <w:rPr>
          <w:rFonts w:ascii="仿宋_GB2312" w:eastAsia="仿宋_GB2312"/>
          <w:color w:val="auto"/>
          <w:sz w:val="32"/>
          <w:szCs w:val="32"/>
        </w:rPr>
        <w:t>.</w:t>
      </w:r>
      <w:r>
        <w:rPr>
          <w:rFonts w:ascii="仿宋_GB2312" w:eastAsia="仿宋_GB2312" w:hint="eastAsia"/>
          <w:color w:val="auto"/>
          <w:sz w:val="32"/>
          <w:szCs w:val="32"/>
        </w:rPr>
        <w:t>年初结转和结余：指以前年度尚未完成、结转到本年</w:t>
      </w:r>
      <w:r>
        <w:rPr>
          <w:rFonts w:ascii="仿宋_GB2312" w:eastAsia="仿宋_GB2312" w:hint="eastAsia"/>
          <w:color w:val="auto"/>
          <w:sz w:val="32"/>
          <w:szCs w:val="32"/>
        </w:rPr>
        <w:lastRenderedPageBreak/>
        <w:t>按有关规定继续使用的资金。</w:t>
      </w:r>
    </w:p>
    <w:p w:rsidR="00C86173" w:rsidRDefault="00CC65C4">
      <w:pPr>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教育支出</w:t>
      </w:r>
      <w:r>
        <w:rPr>
          <w:rStyle w:val="a7"/>
          <w:rFonts w:ascii="仿宋_GB2312" w:eastAsia="仿宋_GB2312" w:hAnsi="仿宋" w:hint="eastAsia"/>
          <w:b w:val="0"/>
          <w:bCs/>
          <w:sz w:val="32"/>
          <w:szCs w:val="32"/>
        </w:rPr>
        <w:t>（类）教育管理事务（款）其他教育管理事务支出（项）</w:t>
      </w:r>
      <w:r>
        <w:rPr>
          <w:rFonts w:ascii="仿宋_GB2312" w:eastAsia="仿宋_GB2312" w:hint="eastAsia"/>
          <w:b/>
          <w:sz w:val="32"/>
          <w:szCs w:val="32"/>
        </w:rPr>
        <w:t>：</w:t>
      </w:r>
      <w:r>
        <w:rPr>
          <w:rFonts w:ascii="仿宋_GB2312" w:eastAsia="仿宋_GB2312" w:hint="eastAsia"/>
          <w:sz w:val="32"/>
          <w:szCs w:val="32"/>
        </w:rPr>
        <w:t>反映用于教育管理事务方面的支出。</w:t>
      </w:r>
    </w:p>
    <w:p w:rsidR="00C86173" w:rsidRDefault="00CC65C4">
      <w:pPr>
        <w:spacing w:line="600" w:lineRule="exact"/>
        <w:ind w:firstLineChars="200" w:firstLine="640"/>
        <w:rPr>
          <w:rFonts w:ascii="宋体" w:hAnsi="宋体" w:cs="宋体"/>
          <w:kern w:val="0"/>
          <w:sz w:val="18"/>
          <w:szCs w:val="18"/>
        </w:rPr>
      </w:pPr>
      <w:r>
        <w:rPr>
          <w:rFonts w:ascii="仿宋_GB2312" w:eastAsia="仿宋_GB2312" w:hint="eastAsia"/>
          <w:sz w:val="32"/>
          <w:szCs w:val="32"/>
        </w:rPr>
        <w:t>4</w:t>
      </w:r>
      <w:r>
        <w:rPr>
          <w:rFonts w:ascii="仿宋_GB2312" w:eastAsia="仿宋_GB2312"/>
          <w:sz w:val="32"/>
          <w:szCs w:val="32"/>
        </w:rPr>
        <w:t>.</w:t>
      </w:r>
      <w:r>
        <w:rPr>
          <w:rFonts w:ascii="仿宋_GB2312" w:eastAsia="仿宋_GB2312" w:hint="eastAsia"/>
          <w:sz w:val="32"/>
          <w:szCs w:val="32"/>
        </w:rPr>
        <w:t>社会保障和就业支出（类）</w:t>
      </w:r>
      <w:r>
        <w:rPr>
          <w:rStyle w:val="a7"/>
          <w:rFonts w:ascii="仿宋_GB2312" w:eastAsia="仿宋_GB2312" w:hAnsi="仿宋" w:hint="eastAsia"/>
          <w:b w:val="0"/>
          <w:bCs/>
          <w:sz w:val="32"/>
          <w:szCs w:val="32"/>
        </w:rPr>
        <w:t>行政事业单位养老支出（款）事业单位离退休（项）</w:t>
      </w:r>
      <w:r>
        <w:rPr>
          <w:rStyle w:val="a7"/>
          <w:rFonts w:ascii="仿宋_GB2312" w:eastAsia="仿宋_GB2312" w:hAnsi="仿宋" w:hint="eastAsia"/>
          <w:b w:val="0"/>
          <w:bCs/>
          <w:sz w:val="32"/>
          <w:szCs w:val="32"/>
        </w:rPr>
        <w:t>:</w:t>
      </w:r>
      <w:r>
        <w:rPr>
          <w:rFonts w:ascii="仿宋_GB2312" w:eastAsia="仿宋_GB2312" w:hAnsi="宋体" w:cs="宋体" w:hint="eastAsia"/>
          <w:kern w:val="0"/>
          <w:sz w:val="32"/>
          <w:szCs w:val="32"/>
        </w:rPr>
        <w:t>反映事业单位开支的离退休经费。</w:t>
      </w:r>
    </w:p>
    <w:p w:rsidR="00C86173" w:rsidRDefault="00CC65C4">
      <w:pPr>
        <w:spacing w:line="600" w:lineRule="exact"/>
        <w:ind w:firstLineChars="200" w:firstLine="640"/>
        <w:rPr>
          <w:rFonts w:ascii="仿宋_GB2312" w:eastAsia="仿宋_GB2312"/>
          <w:sz w:val="32"/>
          <w:szCs w:val="32"/>
        </w:rPr>
      </w:pPr>
      <w:r>
        <w:rPr>
          <w:rStyle w:val="a7"/>
          <w:rFonts w:ascii="仿宋_GB2312" w:eastAsia="仿宋_GB2312" w:hAnsi="仿宋" w:hint="eastAsia"/>
          <w:b w:val="0"/>
          <w:bCs/>
          <w:sz w:val="32"/>
          <w:szCs w:val="32"/>
        </w:rPr>
        <w:t>5.</w:t>
      </w:r>
      <w:r>
        <w:rPr>
          <w:rStyle w:val="a7"/>
          <w:rFonts w:ascii="仿宋_GB2312" w:eastAsia="仿宋_GB2312" w:hAnsi="仿宋" w:hint="eastAsia"/>
          <w:b w:val="0"/>
          <w:bCs/>
          <w:sz w:val="32"/>
          <w:szCs w:val="32"/>
        </w:rPr>
        <w:t>社会保障和就业</w:t>
      </w:r>
      <w:r>
        <w:rPr>
          <w:rFonts w:ascii="仿宋_GB2312" w:eastAsia="仿宋_GB2312" w:hint="eastAsia"/>
          <w:sz w:val="32"/>
          <w:szCs w:val="32"/>
        </w:rPr>
        <w:t>支出</w:t>
      </w:r>
      <w:r>
        <w:rPr>
          <w:rStyle w:val="a7"/>
          <w:rFonts w:ascii="仿宋_GB2312" w:eastAsia="仿宋_GB2312" w:hAnsi="仿宋" w:hint="eastAsia"/>
          <w:b w:val="0"/>
          <w:bCs/>
          <w:sz w:val="32"/>
          <w:szCs w:val="32"/>
        </w:rPr>
        <w:t>（类）行政事业单位养老支出（款）机关事业单位基本养老保险缴费支出（项）</w:t>
      </w:r>
      <w:r>
        <w:rPr>
          <w:rStyle w:val="a7"/>
          <w:rFonts w:ascii="仿宋_GB2312" w:eastAsia="仿宋_GB2312" w:hAnsi="仿宋" w:hint="eastAsia"/>
          <w:b w:val="0"/>
          <w:bCs/>
          <w:sz w:val="32"/>
          <w:szCs w:val="32"/>
        </w:rPr>
        <w:t xml:space="preserve">: </w:t>
      </w:r>
      <w:r>
        <w:rPr>
          <w:rFonts w:ascii="仿宋_GB2312" w:eastAsia="仿宋_GB2312" w:hint="eastAsia"/>
          <w:sz w:val="32"/>
          <w:szCs w:val="32"/>
        </w:rPr>
        <w:t>反映单位实施养老保险制度由单位缴纳的基本养老保险费支出。</w:t>
      </w:r>
    </w:p>
    <w:p w:rsidR="00C86173" w:rsidRDefault="00CC65C4">
      <w:pPr>
        <w:spacing w:line="600" w:lineRule="exact"/>
        <w:ind w:firstLineChars="200" w:firstLine="640"/>
        <w:rPr>
          <w:rFonts w:ascii="仿宋_GB2312" w:eastAsia="仿宋_GB2312"/>
          <w:sz w:val="32"/>
          <w:szCs w:val="32"/>
        </w:rPr>
      </w:pPr>
      <w:r>
        <w:rPr>
          <w:rStyle w:val="a7"/>
          <w:rFonts w:ascii="仿宋_GB2312" w:eastAsia="仿宋_GB2312" w:hAnsi="仿宋" w:hint="eastAsia"/>
          <w:b w:val="0"/>
          <w:bCs/>
          <w:sz w:val="32"/>
          <w:szCs w:val="32"/>
        </w:rPr>
        <w:t>6.</w:t>
      </w:r>
      <w:r>
        <w:rPr>
          <w:rStyle w:val="a7"/>
          <w:rFonts w:ascii="仿宋_GB2312" w:eastAsia="仿宋_GB2312" w:hAnsi="仿宋" w:hint="eastAsia"/>
          <w:b w:val="0"/>
          <w:bCs/>
          <w:sz w:val="32"/>
          <w:szCs w:val="32"/>
        </w:rPr>
        <w:t>社会保障和就业</w:t>
      </w:r>
      <w:r>
        <w:rPr>
          <w:rFonts w:ascii="仿宋_GB2312" w:eastAsia="仿宋_GB2312" w:hint="eastAsia"/>
          <w:sz w:val="32"/>
          <w:szCs w:val="32"/>
        </w:rPr>
        <w:t>支出</w:t>
      </w:r>
      <w:r>
        <w:rPr>
          <w:rStyle w:val="a7"/>
          <w:rFonts w:ascii="仿宋_GB2312" w:eastAsia="仿宋_GB2312" w:hAnsi="仿宋" w:hint="eastAsia"/>
          <w:b w:val="0"/>
          <w:bCs/>
          <w:sz w:val="32"/>
          <w:szCs w:val="32"/>
        </w:rPr>
        <w:t>（类）行政事业单位养老支出（款）机关事业单位职业年金缴费支出（项）</w:t>
      </w:r>
      <w:r>
        <w:rPr>
          <w:rStyle w:val="a7"/>
          <w:rFonts w:ascii="仿宋_GB2312" w:eastAsia="仿宋_GB2312" w:hAnsi="仿宋" w:hint="eastAsia"/>
          <w:b w:val="0"/>
          <w:bCs/>
          <w:sz w:val="32"/>
          <w:szCs w:val="32"/>
        </w:rPr>
        <w:t>:</w:t>
      </w:r>
      <w:r>
        <w:rPr>
          <w:rFonts w:ascii="仿宋_GB2312" w:eastAsia="仿宋_GB2312" w:hint="eastAsia"/>
          <w:sz w:val="32"/>
          <w:szCs w:val="32"/>
        </w:rPr>
        <w:t>反映单位实施养老保险制度由单位实际缴纳的</w:t>
      </w:r>
      <w:r>
        <w:rPr>
          <w:rStyle w:val="a7"/>
          <w:rFonts w:ascii="仿宋_GB2312" w:eastAsia="仿宋_GB2312" w:hAnsi="仿宋" w:hint="eastAsia"/>
          <w:b w:val="0"/>
          <w:bCs/>
          <w:sz w:val="32"/>
          <w:szCs w:val="32"/>
        </w:rPr>
        <w:t>职业年金支出。</w:t>
      </w:r>
    </w:p>
    <w:p w:rsidR="00C86173" w:rsidRDefault="00CC65C4">
      <w:pPr>
        <w:spacing w:line="60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sz w:val="32"/>
          <w:szCs w:val="32"/>
        </w:rPr>
        <w:t>.</w:t>
      </w:r>
      <w:r>
        <w:rPr>
          <w:rFonts w:ascii="仿宋_GB2312" w:eastAsia="仿宋_GB2312" w:hint="eastAsia"/>
          <w:sz w:val="32"/>
          <w:szCs w:val="32"/>
        </w:rPr>
        <w:t>卫生健康支出（类）</w:t>
      </w:r>
      <w:r>
        <w:rPr>
          <w:rFonts w:ascii="仿宋_GB2312" w:eastAsia="仿宋_GB2312" w:hint="eastAsia"/>
          <w:sz w:val="32"/>
          <w:szCs w:val="32"/>
        </w:rPr>
        <w:t>行政事业单位医疗（款）事业单位医疗（项）：反映财政部门安排的事业单位基本医疗保险缴费经费。</w:t>
      </w:r>
    </w:p>
    <w:p w:rsidR="00C86173" w:rsidRDefault="00CC65C4">
      <w:pPr>
        <w:spacing w:line="600" w:lineRule="exact"/>
        <w:ind w:firstLine="640"/>
        <w:rPr>
          <w:rFonts w:ascii="仿宋_GB2312" w:eastAsia="仿宋_GB2312"/>
          <w:sz w:val="32"/>
          <w:szCs w:val="32"/>
        </w:rPr>
      </w:pPr>
      <w:r>
        <w:rPr>
          <w:rFonts w:ascii="仿宋_GB2312" w:eastAsia="仿宋_GB2312" w:hint="eastAsia"/>
          <w:sz w:val="32"/>
          <w:szCs w:val="32"/>
        </w:rPr>
        <w:t>8</w:t>
      </w:r>
      <w:r>
        <w:rPr>
          <w:rFonts w:ascii="仿宋_GB2312" w:eastAsia="仿宋_GB2312"/>
          <w:sz w:val="32"/>
          <w:szCs w:val="32"/>
        </w:rPr>
        <w:t>.</w:t>
      </w:r>
      <w:r>
        <w:rPr>
          <w:rFonts w:ascii="仿宋_GB2312" w:eastAsia="仿宋_GB2312" w:hint="eastAsia"/>
          <w:sz w:val="32"/>
          <w:szCs w:val="32"/>
        </w:rPr>
        <w:t>住房保障支出（类）住房改革支出（款）住房公积金（项）：反映单位按人力资源和社会保障部、财政部规定的基本工资和津贴补贴以及规定比例为职工缴纳的住房公积金。</w:t>
      </w:r>
    </w:p>
    <w:p w:rsidR="00C86173" w:rsidRDefault="00CC65C4">
      <w:pPr>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其他支出（类）其他支出（款）其他支出（项）：指其他不能划分到具体功能科目中的支出项目。</w:t>
      </w:r>
    </w:p>
    <w:p w:rsidR="00C86173" w:rsidRDefault="00CC65C4">
      <w:pPr>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sz w:val="32"/>
          <w:szCs w:val="32"/>
        </w:rPr>
        <w:t>.</w:t>
      </w:r>
      <w:r>
        <w:rPr>
          <w:rFonts w:ascii="仿宋_GB2312" w:eastAsia="仿宋_GB2312" w:hint="eastAsia"/>
          <w:sz w:val="32"/>
          <w:szCs w:val="32"/>
        </w:rPr>
        <w:t>基本支出：指为保障机构正常运转、完成日常工作任务而发生的人员支出和公用支出。</w:t>
      </w:r>
    </w:p>
    <w:p w:rsidR="00C86173" w:rsidRDefault="00CC65C4">
      <w:pPr>
        <w:ind w:firstLineChars="200" w:firstLine="640"/>
        <w:rPr>
          <w:rFonts w:ascii="仿宋_GB2312" w:eastAsia="仿宋_GB2312"/>
          <w:sz w:val="32"/>
          <w:szCs w:val="32"/>
        </w:rPr>
      </w:pPr>
      <w:r>
        <w:rPr>
          <w:rFonts w:ascii="仿宋_GB2312" w:eastAsia="仿宋_GB2312" w:hint="eastAsia"/>
          <w:sz w:val="32"/>
          <w:szCs w:val="32"/>
        </w:rPr>
        <w:t>11</w:t>
      </w:r>
      <w:r>
        <w:rPr>
          <w:rFonts w:ascii="仿宋_GB2312" w:eastAsia="仿宋_GB2312"/>
          <w:sz w:val="32"/>
          <w:szCs w:val="32"/>
        </w:rPr>
        <w:t>.</w:t>
      </w:r>
      <w:r>
        <w:rPr>
          <w:rFonts w:ascii="仿宋_GB2312" w:eastAsia="仿宋_GB2312" w:hint="eastAsia"/>
          <w:sz w:val="32"/>
          <w:szCs w:val="32"/>
        </w:rPr>
        <w:t>项目支出：指在基本支出之外为完成特定行政任务</w:t>
      </w:r>
      <w:r>
        <w:rPr>
          <w:rFonts w:ascii="仿宋_GB2312" w:eastAsia="仿宋_GB2312" w:hint="eastAsia"/>
          <w:sz w:val="32"/>
          <w:szCs w:val="32"/>
        </w:rPr>
        <w:lastRenderedPageBreak/>
        <w:t>和事业发展目标所发生的支出。</w:t>
      </w:r>
    </w:p>
    <w:p w:rsidR="00C86173" w:rsidRDefault="00CC65C4">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12</w:t>
      </w:r>
      <w:r>
        <w:rPr>
          <w:rFonts w:ascii="仿宋_GB2312" w:eastAsia="仿宋_GB2312"/>
          <w:color w:val="auto"/>
          <w:sz w:val="32"/>
          <w:szCs w:val="32"/>
        </w:rPr>
        <w:t>.</w:t>
      </w:r>
      <w:r>
        <w:rPr>
          <w:rFonts w:ascii="仿宋_GB2312" w:eastAsia="仿宋_GB2312" w:hint="eastAsia"/>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C86173" w:rsidRDefault="00C86173">
      <w:pPr>
        <w:pStyle w:val="Default"/>
        <w:spacing w:line="560" w:lineRule="exact"/>
        <w:ind w:firstLineChars="200" w:firstLine="640"/>
        <w:rPr>
          <w:rFonts w:ascii="仿宋_GB2312" w:eastAsia="仿宋_GB2312"/>
          <w:color w:val="auto"/>
          <w:sz w:val="32"/>
          <w:szCs w:val="32"/>
        </w:rPr>
      </w:pPr>
    </w:p>
    <w:p w:rsidR="00C86173" w:rsidRDefault="00C86173">
      <w:pPr>
        <w:pStyle w:val="Default"/>
        <w:spacing w:line="560" w:lineRule="exact"/>
        <w:ind w:firstLineChars="200" w:firstLine="640"/>
        <w:rPr>
          <w:rFonts w:ascii="仿宋_GB2312" w:eastAsia="仿宋_GB2312"/>
          <w:color w:val="auto"/>
          <w:sz w:val="32"/>
          <w:szCs w:val="32"/>
        </w:rPr>
      </w:pPr>
    </w:p>
    <w:p w:rsidR="00C86173" w:rsidRDefault="00CC65C4">
      <w:pPr>
        <w:spacing w:line="600" w:lineRule="exact"/>
        <w:jc w:val="center"/>
        <w:outlineLvl w:val="0"/>
        <w:rPr>
          <w:rStyle w:val="1Char"/>
          <w:rFonts w:ascii="黑体" w:eastAsia="黑体" w:hAnsi="黑体"/>
          <w:b w:val="0"/>
        </w:rPr>
      </w:pPr>
      <w:bookmarkStart w:id="82" w:name="_Toc15396614"/>
      <w:bookmarkStart w:id="83" w:name="_Toc145324386"/>
      <w:bookmarkStart w:id="84" w:name="_Toc15377226"/>
      <w:r>
        <w:rPr>
          <w:rFonts w:ascii="黑体" w:eastAsia="黑体" w:hAnsi="黑体" w:hint="eastAsia"/>
          <w:sz w:val="44"/>
          <w:szCs w:val="44"/>
        </w:rPr>
        <w:t>第</w:t>
      </w:r>
      <w:r>
        <w:rPr>
          <w:rStyle w:val="1Char"/>
          <w:rFonts w:ascii="黑体" w:eastAsia="黑体" w:hAnsi="黑体" w:hint="eastAsia"/>
          <w:b w:val="0"/>
        </w:rPr>
        <w:t>四部分</w:t>
      </w:r>
      <w:r>
        <w:rPr>
          <w:rStyle w:val="1Char"/>
          <w:rFonts w:ascii="黑体" w:eastAsia="黑体" w:hAnsi="黑体" w:hint="eastAsia"/>
          <w:b w:val="0"/>
        </w:rPr>
        <w:t xml:space="preserve"> </w:t>
      </w:r>
      <w:r>
        <w:rPr>
          <w:rStyle w:val="1Char"/>
          <w:rFonts w:ascii="黑体" w:eastAsia="黑体" w:hAnsi="黑体" w:hint="eastAsia"/>
          <w:b w:val="0"/>
        </w:rPr>
        <w:t>附件</w:t>
      </w:r>
      <w:bookmarkEnd w:id="82"/>
      <w:bookmarkEnd w:id="83"/>
    </w:p>
    <w:p w:rsidR="00C86173" w:rsidRDefault="00C86173">
      <w:pPr>
        <w:spacing w:line="572" w:lineRule="exact"/>
        <w:jc w:val="left"/>
        <w:outlineLvl w:val="0"/>
        <w:rPr>
          <w:rFonts w:ascii="仿宋_GB2312" w:eastAsia="仿宋_GB2312" w:hAnsi="仿宋_GB2312" w:cs="仿宋_GB2312"/>
          <w:sz w:val="32"/>
          <w:szCs w:val="32"/>
        </w:rPr>
      </w:pPr>
    </w:p>
    <w:p w:rsidR="00C86173" w:rsidRDefault="00CC65C4">
      <w:pPr>
        <w:spacing w:line="600" w:lineRule="exact"/>
        <w:jc w:val="center"/>
        <w:outlineLvl w:val="0"/>
        <w:rPr>
          <w:rFonts w:ascii="宋体" w:hAnsi="宋体" w:cs="宋体"/>
          <w:kern w:val="0"/>
          <w:sz w:val="32"/>
          <w:szCs w:val="32"/>
        </w:rPr>
        <w:sectPr w:rsidR="00C86173">
          <w:footerReference w:type="default" r:id="rId17"/>
          <w:footerReference w:type="first" r:id="rId18"/>
          <w:pgSz w:w="11906" w:h="16838"/>
          <w:pgMar w:top="1440" w:right="1800" w:bottom="1440" w:left="1800" w:header="851" w:footer="992" w:gutter="0"/>
          <w:pgNumType w:start="1"/>
          <w:cols w:space="425"/>
          <w:titlePg/>
          <w:docGrid w:type="lines" w:linePitch="312"/>
        </w:sectPr>
      </w:pPr>
      <w:bookmarkStart w:id="85" w:name="_Toc145324387"/>
      <w:bookmarkStart w:id="86" w:name="_Toc15396618"/>
      <w:r>
        <w:rPr>
          <w:rFonts w:ascii="宋体" w:hAnsi="宋体" w:cs="宋体" w:hint="eastAsia"/>
          <w:kern w:val="0"/>
          <w:sz w:val="32"/>
          <w:szCs w:val="32"/>
        </w:rPr>
        <w:t>部门预算项目支出绩效自评表（</w:t>
      </w:r>
      <w:r>
        <w:rPr>
          <w:rFonts w:ascii="宋体" w:hAnsi="宋体" w:cs="宋体" w:hint="eastAsia"/>
          <w:kern w:val="0"/>
          <w:sz w:val="32"/>
          <w:szCs w:val="32"/>
        </w:rPr>
        <w:t>2022</w:t>
      </w:r>
      <w:r>
        <w:rPr>
          <w:rFonts w:ascii="宋体" w:hAnsi="宋体" w:cs="宋体" w:hint="eastAsia"/>
          <w:kern w:val="0"/>
          <w:sz w:val="32"/>
          <w:szCs w:val="32"/>
        </w:rPr>
        <w:t>年度）</w:t>
      </w:r>
      <w:bookmarkEnd w:id="85"/>
    </w:p>
    <w:tbl>
      <w:tblPr>
        <w:tblW w:w="11370" w:type="dxa"/>
        <w:jc w:val="center"/>
        <w:tblLook w:val="04A0"/>
      </w:tblPr>
      <w:tblGrid>
        <w:gridCol w:w="708"/>
        <w:gridCol w:w="1691"/>
        <w:gridCol w:w="962"/>
        <w:gridCol w:w="1319"/>
        <w:gridCol w:w="668"/>
        <w:gridCol w:w="9"/>
        <w:gridCol w:w="581"/>
        <w:gridCol w:w="553"/>
        <w:gridCol w:w="203"/>
        <w:gridCol w:w="1322"/>
        <w:gridCol w:w="576"/>
        <w:gridCol w:w="116"/>
        <w:gridCol w:w="550"/>
        <w:gridCol w:w="2112"/>
      </w:tblGrid>
      <w:tr w:rsidR="00C86173">
        <w:trPr>
          <w:trHeight w:val="561"/>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黑体" w:eastAsia="黑体" w:hAnsi="黑体" w:cs="宋体"/>
                <w:b/>
                <w:bCs/>
                <w:kern w:val="0"/>
                <w:sz w:val="32"/>
                <w:szCs w:val="32"/>
              </w:rPr>
            </w:pPr>
            <w:r>
              <w:rPr>
                <w:rFonts w:ascii="黑体" w:eastAsia="黑体" w:hAnsi="黑体" w:cs="宋体" w:hint="eastAsia"/>
                <w:b/>
                <w:bCs/>
                <w:kern w:val="0"/>
                <w:sz w:val="32"/>
                <w:szCs w:val="32"/>
              </w:rPr>
              <w:lastRenderedPageBreak/>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51000021R000000019951-</w:t>
            </w:r>
            <w:r>
              <w:rPr>
                <w:rFonts w:ascii="仿宋_GB2312" w:eastAsia="仿宋_GB2312" w:hAnsi="宋体" w:cs="宋体" w:hint="eastAsia"/>
                <w:kern w:val="0"/>
                <w:sz w:val="18"/>
                <w:szCs w:val="18"/>
              </w:rPr>
              <w:t>工资性支出</w:t>
            </w:r>
          </w:p>
        </w:tc>
      </w:tr>
      <w:tr w:rsidR="00C86173">
        <w:trPr>
          <w:trHeight w:val="30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092" w:type="dxa"/>
            <w:gridSpan w:val="6"/>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2101"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092" w:type="dxa"/>
            <w:gridSpan w:val="6"/>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879" w:type="dxa"/>
            <w:gridSpan w:val="6"/>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51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4092" w:type="dxa"/>
            <w:gridSpan w:val="6"/>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严格执行相关政策，保障工资及时发放、足额发放，预算编制科学合理，减少结余资金</w:t>
            </w:r>
          </w:p>
        </w:tc>
        <w:tc>
          <w:tcPr>
            <w:tcW w:w="4879" w:type="dxa"/>
            <w:gridSpan w:val="6"/>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严格执行相关政策，保障单位职工工资及时发放、足额发放，按月及时缴纳五险一金，年末无结余结转资金</w:t>
            </w:r>
          </w:p>
        </w:tc>
      </w:tr>
      <w:tr w:rsidR="00C86173">
        <w:trPr>
          <w:trHeight w:val="450"/>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6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严格执行相关政策，按财政要求，每月及时申报发放、足额发放单位职工工资，按月及时缴纳五险一金</w:t>
            </w:r>
          </w:p>
        </w:tc>
      </w:tr>
      <w:tr w:rsidR="00C86173">
        <w:trPr>
          <w:trHeight w:val="456"/>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1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140.13</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140.13</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140.13</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34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140.13</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140.13</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140.13</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32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28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30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484"/>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i/>
                <w:iCs/>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jc w:val="center"/>
              <w:rPr>
                <w:rFonts w:ascii="仿宋_GB2312" w:eastAsia="仿宋_GB2312" w:hAnsi="宋体" w:cs="宋体"/>
                <w:kern w:val="0"/>
                <w:sz w:val="18"/>
                <w:szCs w:val="18"/>
              </w:rPr>
            </w:pPr>
          </w:p>
        </w:tc>
      </w:tr>
      <w:tr w:rsidR="00C86173">
        <w:trPr>
          <w:trHeight w:val="744"/>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分，达到预期目标。我所通过加强预算收支管理，不断建立健全内部管理制度，强化内部管理流程，执行相关政策，按财政要求，每月及时申报发放、足额发放单位职工工资，按月及时缴纳五险一金。</w:t>
            </w:r>
          </w:p>
        </w:tc>
      </w:tr>
      <w:tr w:rsidR="00C86173">
        <w:trPr>
          <w:trHeight w:val="461"/>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Cs/>
                <w:kern w:val="0"/>
                <w:sz w:val="18"/>
                <w:szCs w:val="18"/>
              </w:rPr>
            </w:pPr>
            <w:r>
              <w:rPr>
                <w:rFonts w:ascii="仿宋_GB2312" w:eastAsia="仿宋_GB2312" w:hAnsi="宋体" w:cs="宋体" w:hint="eastAsia"/>
                <w:iCs/>
                <w:kern w:val="0"/>
                <w:sz w:val="18"/>
                <w:szCs w:val="18"/>
              </w:rPr>
              <w:t>无</w:t>
            </w:r>
          </w:p>
        </w:tc>
      </w:tr>
      <w:tr w:rsidR="00C86173">
        <w:trPr>
          <w:trHeight w:val="541"/>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Cs/>
                <w:kern w:val="0"/>
                <w:sz w:val="18"/>
                <w:szCs w:val="18"/>
              </w:rPr>
            </w:pPr>
            <w:r>
              <w:rPr>
                <w:rFonts w:ascii="仿宋_GB2312" w:eastAsia="仿宋_GB2312" w:hAnsi="宋体" w:cs="宋体" w:hint="eastAsia"/>
                <w:iCs/>
                <w:kern w:val="0"/>
                <w:sz w:val="18"/>
                <w:szCs w:val="18"/>
              </w:rPr>
              <w:t>无</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36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51000021R000000019956-</w:t>
            </w:r>
            <w:r>
              <w:rPr>
                <w:rFonts w:ascii="仿宋_GB2312" w:eastAsia="仿宋_GB2312" w:hAnsi="宋体" w:cs="宋体" w:hint="eastAsia"/>
                <w:kern w:val="0"/>
                <w:sz w:val="18"/>
                <w:szCs w:val="18"/>
              </w:rPr>
              <w:t>离退休费支出</w:t>
            </w:r>
          </w:p>
        </w:tc>
      </w:tr>
      <w:tr w:rsidR="00C86173">
        <w:trPr>
          <w:trHeight w:val="312"/>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3539"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2770"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662"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3539"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5432"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54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3539"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严格执行相关政策，保障工资及时发放、足额发放，预算编制科学合理，减少结余资金</w:t>
            </w:r>
          </w:p>
        </w:tc>
        <w:tc>
          <w:tcPr>
            <w:tcW w:w="5432"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严格执行相关政策，按财政要求，保障每月及时申报发放、足额发放单位退休职工绩效补助费用。年末无结余结转资金</w:t>
            </w:r>
          </w:p>
        </w:tc>
      </w:tr>
      <w:tr w:rsidR="00C86173">
        <w:trPr>
          <w:trHeight w:val="50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严格执行相关政策，按财政要求，保障每月及时申报发放、足额发放单位退休职工绩效补助费用</w:t>
            </w:r>
          </w:p>
        </w:tc>
      </w:tr>
      <w:tr w:rsidR="00C86173">
        <w:trPr>
          <w:trHeight w:val="432"/>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26.60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26.60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26.60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26.60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26.60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26.60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77"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8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73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分，达到预期目标。我所通过加强预算收支管理，不断建立健全内部管理制度，强化内部管理流程，执行相关政策，按财政要求，每月及时申报发放、足额发放单位退休职工绩效补助费用。</w:t>
            </w:r>
          </w:p>
        </w:tc>
      </w:tr>
      <w:tr w:rsidR="00C86173">
        <w:trPr>
          <w:trHeight w:val="504"/>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504"/>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36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51000021R000000019958-</w:t>
            </w:r>
            <w:r>
              <w:rPr>
                <w:rFonts w:ascii="仿宋_GB2312" w:eastAsia="仿宋_GB2312" w:hAnsi="宋体" w:cs="宋体" w:hint="eastAsia"/>
                <w:kern w:val="0"/>
                <w:sz w:val="18"/>
                <w:szCs w:val="18"/>
              </w:rPr>
              <w:t>其他支出</w:t>
            </w:r>
          </w:p>
        </w:tc>
      </w:tr>
      <w:tr w:rsidR="00C86173">
        <w:trPr>
          <w:trHeight w:val="342"/>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550"/>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3539"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严格执行相关政策，保障工资及时发放、足额发放，预算编制科学合理，减少结余资金</w:t>
            </w:r>
          </w:p>
        </w:tc>
        <w:tc>
          <w:tcPr>
            <w:tcW w:w="5432"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严格执行相关政策，按财政要求，每月及时申报发放、足额发放单位遗属生活补助。年末无结余结转资金</w:t>
            </w:r>
          </w:p>
        </w:tc>
      </w:tr>
      <w:tr w:rsidR="00C86173">
        <w:trPr>
          <w:trHeight w:val="51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严格执行相关政策，按财政要求，每月及时申报发放、足额发放单位遗属生活补助</w:t>
            </w:r>
          </w:p>
        </w:tc>
      </w:tr>
      <w:tr w:rsidR="00C86173">
        <w:trPr>
          <w:trHeight w:val="444"/>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0.88</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0.88</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0.88</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0.88</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0.88</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0.88</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7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分，达到预期目标。我所通过加强预算收支管理，不断建立健全内部管理制度，强化内部管理流程，执行相关政策，按财政要求，每月及时申报发放、足额发放单位遗属生活补助。</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51080021T000000172579-2020</w:t>
            </w:r>
            <w:r>
              <w:rPr>
                <w:rFonts w:ascii="仿宋_GB2312" w:eastAsia="仿宋_GB2312" w:hAnsi="宋体" w:cs="宋体" w:hint="eastAsia"/>
                <w:kern w:val="0"/>
                <w:sz w:val="18"/>
                <w:szCs w:val="18"/>
              </w:rPr>
              <w:t>年市级教育专项资金教育质量监测、研讨</w:t>
            </w:r>
          </w:p>
        </w:tc>
      </w:tr>
      <w:tr w:rsidR="00C86173">
        <w:trPr>
          <w:trHeight w:val="406"/>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56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完成全市教学质量监测。完成教学研讨、学校调研视导</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完成全市教学质量监测</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次；完成了教学研讨、学校调研视导。年末无结余结转资金</w:t>
            </w:r>
          </w:p>
        </w:tc>
      </w:tr>
      <w:tr w:rsidR="00C86173">
        <w:trPr>
          <w:trHeight w:val="76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完成了全市普通高中高三诊断性监测</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次；全市职业高中修业年级教学质量监测</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次；初中学业水平考试命题</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次；全市义务教育阶段学生学业水平监测</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次；市直属学校义务教育阶段学生期末教学质量监测</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次。完成了教学研讨、学校调研视导及高中教学工作会</w:t>
            </w:r>
          </w:p>
        </w:tc>
      </w:tr>
      <w:tr w:rsidR="00C86173">
        <w:trPr>
          <w:trHeight w:val="456"/>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auto"/>
              <w:bottom w:val="single" w:sz="4" w:space="0" w:color="000000"/>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tcBorders>
              <w:top w:val="nil"/>
              <w:left w:val="nil"/>
              <w:bottom w:val="nil"/>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开展全市教学监测评估工作</w:t>
            </w:r>
          </w:p>
        </w:tc>
        <w:tc>
          <w:tcPr>
            <w:tcW w:w="668"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12</w:t>
            </w:r>
          </w:p>
        </w:tc>
        <w:tc>
          <w:tcPr>
            <w:tcW w:w="756"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12</w:t>
            </w:r>
          </w:p>
        </w:tc>
        <w:tc>
          <w:tcPr>
            <w:tcW w:w="576"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auto"/>
              <w:bottom w:val="single" w:sz="4" w:space="0" w:color="000000"/>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监测评估学校完成率</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auto"/>
              <w:bottom w:val="single" w:sz="4" w:space="0" w:color="000000"/>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项目完成时间</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完成时间</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成本指标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经济成本指标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教育质量监测成本</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万元</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69.7</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可持续影响指标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持续提升广元教育质量</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w:t>
            </w:r>
          </w:p>
        </w:tc>
        <w:tc>
          <w:tcPr>
            <w:tcW w:w="576"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广元教育教学质量可持续影响指标值有待提高</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学校、学生满意度指标</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w:t>
            </w:r>
          </w:p>
        </w:tc>
        <w:tc>
          <w:tcPr>
            <w:tcW w:w="756"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c>
          <w:tcPr>
            <w:tcW w:w="576"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w:t>
            </w:r>
            <w:r>
              <w:rPr>
                <w:rFonts w:ascii="仿宋_GB2312" w:eastAsia="仿宋_GB2312" w:hAnsi="宋体" w:cs="宋体" w:hint="eastAsia"/>
                <w:kern w:val="0"/>
                <w:sz w:val="18"/>
                <w:szCs w:val="18"/>
              </w:rPr>
              <w:t>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98</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79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88</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98</w:t>
            </w:r>
            <w:r>
              <w:rPr>
                <w:rFonts w:ascii="仿宋_GB2312" w:eastAsia="仿宋_GB2312" w:hAnsi="宋体" w:cs="宋体" w:hint="eastAsia"/>
                <w:kern w:val="0"/>
                <w:sz w:val="18"/>
                <w:szCs w:val="18"/>
              </w:rPr>
              <w:t>分，达到预期目标。通过监测积极探索，重视起点，关注过程，形成了增值评价学校、学生的评价新方式。总结和提炼学校行之有效的教育、教学和管理行为，教师行之有效的教育思想、教育理念、教学方式和策略。从而建立质量标准体系，促进了城乡教育优质均衡发展。</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受经费不充足、研究师资力量薄弱等原因，教学质量监测的项目还不够丰富，监测试题的质量还需持续的进一步提升；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项目资金未纳入年初预算，执行进度受到影响；</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可持续影响指标及学校、学生满意度指标值有待提高。</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进一步加强项目资金管理，坚持厉行节约，提高预算编制质量，细化指标时做到应编尽编，更好的保障资金使用效益，提升可持续影响指标完成值，达到提高绩效目标。</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项目负责人：赵开新</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51080021Y000000176770-</w:t>
            </w:r>
            <w:r>
              <w:rPr>
                <w:rFonts w:ascii="仿宋_GB2312" w:eastAsia="仿宋_GB2312" w:hAnsi="宋体" w:cs="宋体" w:hint="eastAsia"/>
                <w:kern w:val="0"/>
                <w:sz w:val="18"/>
                <w:szCs w:val="18"/>
              </w:rPr>
              <w:t>其他公用经费（福利、工会、公车补贴、党建、退休活动）</w:t>
            </w:r>
          </w:p>
        </w:tc>
      </w:tr>
      <w:tr w:rsidR="00C86173">
        <w:trPr>
          <w:trHeight w:val="354"/>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40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保障单位日常运转，提高预算编制质量，严格执行预算</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保障了单位日常运转，提高预算编制质量，严格执行预算。年末无结余结转资金</w:t>
            </w:r>
          </w:p>
        </w:tc>
      </w:tr>
      <w:tr w:rsidR="00C86173">
        <w:trPr>
          <w:trHeight w:val="48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保障了单位日常运转，提高预算编制质量，严格执行预算，按单位工作开展的需要及进度完成支付，年末无结余结转资金</w:t>
            </w:r>
          </w:p>
        </w:tc>
      </w:tr>
      <w:tr w:rsidR="00C86173">
        <w:trPr>
          <w:trHeight w:val="432"/>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5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15.11</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15.11</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15.11</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05"/>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15.11</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15.11</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15.11</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2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6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预算编制准确率（计算方法为：</w:t>
            </w:r>
            <w:r>
              <w:rPr>
                <w:rFonts w:ascii="宋体" w:hAnsi="宋体" w:cs="宋体" w:hint="eastAsia"/>
                <w:kern w:val="0"/>
                <w:sz w:val="18"/>
                <w:szCs w:val="18"/>
              </w:rPr>
              <w:t>∣</w:t>
            </w:r>
            <w:r>
              <w:rPr>
                <w:rFonts w:ascii="仿宋_GB2312" w:eastAsia="仿宋_GB2312" w:hAnsi="仿宋_GB2312" w:cs="仿宋_GB2312" w:hint="eastAsia"/>
                <w:kern w:val="0"/>
                <w:sz w:val="18"/>
                <w:szCs w:val="18"/>
              </w:rPr>
              <w:t>（执行数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r>
              <w:rPr>
                <w:rFonts w:ascii="宋体" w:hAnsi="宋体" w:cs="宋体" w:hint="eastAsia"/>
                <w:kern w:val="0"/>
                <w:sz w:val="18"/>
                <w:szCs w:val="18"/>
              </w:rPr>
              <w:t>∣</w:t>
            </w:r>
            <w:r>
              <w:rPr>
                <w:rFonts w:ascii="仿宋_GB2312" w:eastAsia="仿宋_GB2312" w:hAnsi="仿宋_GB2312" w:cs="仿宋_GB2312" w:hint="eastAsia"/>
                <w:kern w:val="0"/>
                <w:sz w:val="18"/>
                <w:szCs w:val="18"/>
              </w:rPr>
              <w:t>）</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运转保障率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90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“三公经费”控</w:t>
            </w:r>
            <w:r>
              <w:rPr>
                <w:rFonts w:ascii="仿宋_GB2312" w:eastAsia="仿宋_GB2312" w:hAnsi="宋体" w:cs="宋体" w:hint="eastAsia"/>
                <w:kern w:val="0"/>
                <w:sz w:val="18"/>
                <w:szCs w:val="18"/>
              </w:rPr>
              <w:t>制率</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计算方法为：（三公经费实际支出数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预算安排数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74.17</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16.68</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厉行节约公务用车次数减少</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费用减少</w:t>
            </w: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92.18</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7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82.18</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92.18</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分，达到预期目标。我所通过加强预算收支管理，不断建立健全内部管理制度，强化内部管理流程，执行相关政策，按财政要求提高预算编制质量，严格执行预算，保障了单位日常运转。</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公用经费指标细化不够精准，公务用车运行维护费预算细化有待提高。</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认真学习相关政策，在厉行节约基础上提升预算编制细化能力，做到预算细化更精准。</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51080022R000000267546-</w:t>
            </w:r>
            <w:r>
              <w:rPr>
                <w:rFonts w:ascii="仿宋_GB2312" w:eastAsia="仿宋_GB2312" w:hAnsi="宋体" w:cs="宋体" w:hint="eastAsia"/>
                <w:kern w:val="0"/>
                <w:sz w:val="18"/>
                <w:szCs w:val="18"/>
              </w:rPr>
              <w:t>工资性支出（事业）</w:t>
            </w:r>
          </w:p>
        </w:tc>
      </w:tr>
      <w:tr w:rsidR="00C86173">
        <w:trPr>
          <w:trHeight w:val="350"/>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560"/>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70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严格执行相关政策，保障工资及时发放、足额发放，预算编制科学合理，减少结余资金</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严格执行相关政策，按财政要求，每月及时申报发放、足额发放单位职工工资。年末无结余结转资金</w:t>
            </w:r>
          </w:p>
        </w:tc>
      </w:tr>
      <w:tr w:rsidR="00C86173">
        <w:trPr>
          <w:trHeight w:val="56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严格执行相关政策，按财政要求，每月及时申报发放、足额发放单位职工工资</w:t>
            </w:r>
          </w:p>
        </w:tc>
      </w:tr>
      <w:tr w:rsidR="00C86173">
        <w:trPr>
          <w:trHeight w:val="456"/>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220.38</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343.61</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343.61</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依据广财教（</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034</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107</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140</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167</w:t>
            </w:r>
            <w:r>
              <w:rPr>
                <w:rFonts w:ascii="仿宋_GB2312" w:eastAsia="仿宋_GB2312" w:hAnsi="宋体" w:cs="宋体" w:hint="eastAsia"/>
                <w:kern w:val="0"/>
                <w:sz w:val="18"/>
                <w:szCs w:val="18"/>
              </w:rPr>
              <w:t>文规定，追加单位基础绩效奖</w:t>
            </w: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220.38</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343.61</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343.61</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744"/>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分，达到预期目标。我所通过加强预算收支管理，不断建立健全内部管理制度，强化内部管理流程，执行相关政策，按财政要求，每月及时申报发放、足额发放单位职工工资。</w:t>
            </w:r>
          </w:p>
        </w:tc>
      </w:tr>
      <w:tr w:rsidR="00C86173">
        <w:trPr>
          <w:trHeight w:val="504"/>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504"/>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51080022R000006838642-</w:t>
            </w:r>
            <w:r>
              <w:rPr>
                <w:rFonts w:ascii="仿宋_GB2312" w:eastAsia="仿宋_GB2312" w:hAnsi="宋体" w:cs="宋体" w:hint="eastAsia"/>
                <w:kern w:val="0"/>
                <w:sz w:val="18"/>
                <w:szCs w:val="18"/>
              </w:rPr>
              <w:t>退休“中人”一次性补助</w:t>
            </w:r>
          </w:p>
        </w:tc>
      </w:tr>
      <w:tr w:rsidR="00C86173">
        <w:trPr>
          <w:trHeight w:val="262"/>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55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严格执行相关政策，保障工资及时发放、足额发放，预算编制科学合理，减少结余资金</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严格执行相关政策，按财政及社保要求，及时支付单位退休“中人”一次性补助，年末无结余结转资金</w:t>
            </w:r>
          </w:p>
        </w:tc>
      </w:tr>
      <w:tr w:rsidR="00C86173">
        <w:trPr>
          <w:trHeight w:val="56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严格执行相关政策，按财政及社保要求，及时申报、支付单位退休“中人”一次性补助</w:t>
            </w:r>
          </w:p>
        </w:tc>
      </w:tr>
      <w:tr w:rsidR="00C86173">
        <w:trPr>
          <w:trHeight w:val="432"/>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6.28</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6.28</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依据广财教（</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50</w:t>
            </w:r>
            <w:r>
              <w:rPr>
                <w:rFonts w:ascii="仿宋_GB2312" w:eastAsia="仿宋_GB2312" w:hAnsi="宋体" w:cs="宋体" w:hint="eastAsia"/>
                <w:kern w:val="0"/>
                <w:sz w:val="18"/>
                <w:szCs w:val="18"/>
              </w:rPr>
              <w:t>文规定，追加单位退休“中人”一次性补助</w:t>
            </w: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6.28</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6.28</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lastRenderedPageBreak/>
              <w:t>（</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7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分，达到预期目标。我所通过加强预算收支管理，不断建立健全内部管理制度，强化内部管理流程，严格执行相关政策，按财政及社保要求，及时申报、支付单位退休“中人”一次性补助</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kern w:val="0"/>
                <w:sz w:val="18"/>
                <w:szCs w:val="18"/>
              </w:rPr>
              <w:t>因单位职工年中退休情况较多，退休“中人”一次性补助未能及时清算纳入年初预算</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kern w:val="0"/>
                <w:sz w:val="18"/>
                <w:szCs w:val="18"/>
              </w:rPr>
              <w:t>严格执行相关政策，按财政及社保要求，及时清算并向财政申报单位退休“中人”一次性补助，争取纳入年初预算</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51080022T000004924027-</w:t>
            </w:r>
            <w:r>
              <w:rPr>
                <w:rFonts w:ascii="仿宋_GB2312" w:eastAsia="仿宋_GB2312" w:hAnsi="宋体" w:cs="宋体" w:hint="eastAsia"/>
                <w:kern w:val="0"/>
                <w:sz w:val="18"/>
                <w:szCs w:val="18"/>
              </w:rPr>
              <w:t>乡村振兴工作经费</w:t>
            </w:r>
          </w:p>
        </w:tc>
      </w:tr>
      <w:tr w:rsidR="00C86173">
        <w:trPr>
          <w:trHeight w:val="359"/>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70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帮助柳垭村做好葡萄、枇杷、中药材、猕猴桃园集体经济管理</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我所派出驻村工作队员</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名，攥指成拳、聚力乡村振兴，各项工作有序有力推进，完成年度目标任务。年末无结余结转资金</w:t>
            </w:r>
          </w:p>
        </w:tc>
      </w:tr>
      <w:tr w:rsidR="00C86173">
        <w:trPr>
          <w:trHeight w:val="112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一、抓党建激活乡村振兴“内动力”。抓好理论武装；加强支部共建；抓好干部队伍建设。二、抓产业聚焦乡村振兴“硬任务”。强力推动强村项目，与四川新闻等媒体拍摄柳垭水果专题宣传片</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次，进一步提高柳垭水果知名度；持续开展“以购代扶”活动</w:t>
            </w:r>
            <w:r>
              <w:rPr>
                <w:rFonts w:ascii="仿宋_GB2312" w:eastAsia="仿宋_GB2312" w:hAnsi="宋体" w:cs="宋体" w:hint="eastAsia"/>
                <w:kern w:val="0"/>
                <w:sz w:val="18"/>
                <w:szCs w:val="18"/>
              </w:rPr>
              <w:t>18</w:t>
            </w:r>
            <w:r>
              <w:rPr>
                <w:rFonts w:ascii="仿宋_GB2312" w:eastAsia="仿宋_GB2312" w:hAnsi="宋体" w:cs="宋体" w:hint="eastAsia"/>
                <w:kern w:val="0"/>
                <w:sz w:val="18"/>
                <w:szCs w:val="18"/>
              </w:rPr>
              <w:t>次，累计采购葡萄、枇杷、生猪、土鸡等农副产品</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余种，价值达</w:t>
            </w:r>
            <w:r>
              <w:rPr>
                <w:rFonts w:ascii="仿宋_GB2312" w:eastAsia="仿宋_GB2312" w:hAnsi="宋体" w:cs="宋体" w:hint="eastAsia"/>
                <w:kern w:val="0"/>
                <w:sz w:val="18"/>
                <w:szCs w:val="18"/>
              </w:rPr>
              <w:t>6</w:t>
            </w:r>
            <w:r>
              <w:rPr>
                <w:rFonts w:ascii="仿宋_GB2312" w:eastAsia="仿宋_GB2312" w:hAnsi="宋体" w:cs="宋体" w:hint="eastAsia"/>
                <w:kern w:val="0"/>
                <w:sz w:val="18"/>
                <w:szCs w:val="18"/>
              </w:rPr>
              <w:t>万余元。三、抓帮扶提升人民群众“幸福度”。扎实开展防返贫监测；坚持为民办实事；筑牢疫情防控屏障；改善农村人居环境</w:t>
            </w:r>
          </w:p>
        </w:tc>
      </w:tr>
      <w:tr w:rsidR="00C86173">
        <w:trPr>
          <w:trHeight w:val="432"/>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9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8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6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6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nil"/>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单位主要负责人到村开展调研指导不少于</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次</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人</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次</w:t>
            </w:r>
          </w:p>
        </w:tc>
        <w:tc>
          <w:tcPr>
            <w:tcW w:w="1322"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2</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nil"/>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驻村队员人数</w:t>
            </w:r>
          </w:p>
        </w:tc>
        <w:tc>
          <w:tcPr>
            <w:tcW w:w="668"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人</w:t>
            </w:r>
          </w:p>
        </w:tc>
        <w:tc>
          <w:tcPr>
            <w:tcW w:w="1322"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576"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69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nil"/>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319"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完成省级实地考核评估、市级乡村振兴实绩考核等迎检工作</w:t>
            </w:r>
          </w:p>
        </w:tc>
        <w:tc>
          <w:tcPr>
            <w:tcW w:w="668"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定性</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优</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优良</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中低差</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优</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nil"/>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项目完成时间</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完成时间</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成本指标</w:t>
            </w:r>
          </w:p>
        </w:tc>
        <w:tc>
          <w:tcPr>
            <w:tcW w:w="962"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经济成本指标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项目总成本</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万元</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3.64</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9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帮助脱贫户、监测户产业发展，人均年收</w:t>
            </w:r>
            <w:r>
              <w:rPr>
                <w:rFonts w:ascii="仿宋_GB2312" w:eastAsia="仿宋_GB2312" w:hAnsi="宋体" w:cs="宋体" w:hint="eastAsia"/>
                <w:kern w:val="0"/>
                <w:sz w:val="18"/>
                <w:szCs w:val="18"/>
              </w:rPr>
              <w:lastRenderedPageBreak/>
              <w:t>入数</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7200</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元</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年人</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8000</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帮扶对象满意度指标</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95</w:t>
            </w:r>
          </w:p>
        </w:tc>
        <w:tc>
          <w:tcPr>
            <w:tcW w:w="756"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95</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828"/>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部门项目支出管理得到提升，乡村振兴专项资金预算项目支出合理高效，为进一步落实乡村振兴政策，强化帮扶成效，巩固提升脱贫成效提供保障，从而达到提高帮扶对象经济效益及满意度。</w:t>
            </w:r>
          </w:p>
        </w:tc>
      </w:tr>
      <w:tr w:rsidR="00C86173">
        <w:trPr>
          <w:trHeight w:val="573"/>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是派驻工作队农村工作经验与实践不足。二是部门帮扶工作的开展还需完善。对结对帮扶对象、监测户的关心基本以走访慰问为主，针对性的制定帮扶措施的能力还有待加强。三是帮扶对象经济效益指标、满意度指标值有待提高。</w:t>
            </w:r>
          </w:p>
        </w:tc>
      </w:tr>
      <w:tr w:rsidR="00C86173">
        <w:trPr>
          <w:trHeight w:val="73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一是多措并举发展壮大村集体经济。继续拓展柳垭村产业发展思路，力争</w:t>
            </w:r>
            <w:r>
              <w:rPr>
                <w:rFonts w:ascii="仿宋_GB2312" w:eastAsia="仿宋_GB2312" w:hAnsi="宋体" w:cs="宋体" w:hint="eastAsia"/>
                <w:kern w:val="0"/>
                <w:sz w:val="18"/>
                <w:szCs w:val="18"/>
              </w:rPr>
              <w:t>2023</w:t>
            </w:r>
            <w:r>
              <w:rPr>
                <w:rFonts w:ascii="仿宋_GB2312" w:eastAsia="仿宋_GB2312" w:hAnsi="宋体" w:cs="宋体" w:hint="eastAsia"/>
                <w:kern w:val="0"/>
                <w:sz w:val="18"/>
                <w:szCs w:val="18"/>
              </w:rPr>
              <w:t>年集体经济收入同比增长</w:t>
            </w:r>
            <w:r>
              <w:rPr>
                <w:rFonts w:ascii="仿宋_GB2312" w:eastAsia="仿宋_GB2312" w:hAnsi="宋体" w:cs="宋体" w:hint="eastAsia"/>
                <w:kern w:val="0"/>
                <w:sz w:val="18"/>
                <w:szCs w:val="18"/>
              </w:rPr>
              <w:t>20%</w:t>
            </w:r>
            <w:r>
              <w:rPr>
                <w:rFonts w:ascii="仿宋_GB2312" w:eastAsia="仿宋_GB2312" w:hAnsi="宋体" w:cs="宋体" w:hint="eastAsia"/>
                <w:kern w:val="0"/>
                <w:sz w:val="18"/>
                <w:szCs w:val="18"/>
              </w:rPr>
              <w:t>左右。二是争取项目完善基础设施建设。协助村委争取农业产业项目，拟硬化村道</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公里，治理山坪塘</w:t>
            </w: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口，争取</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座电灌站立项上马；拟争取新建阵地土地征拔</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提升为人民群众办事服务的硬件条件。</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项目负责人：刘子兵</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51080022T000004950044-</w:t>
            </w:r>
            <w:r>
              <w:rPr>
                <w:rFonts w:ascii="仿宋_GB2312" w:eastAsia="仿宋_GB2312" w:hAnsi="宋体" w:cs="宋体" w:hint="eastAsia"/>
                <w:kern w:val="0"/>
                <w:sz w:val="18"/>
                <w:szCs w:val="18"/>
              </w:rPr>
              <w:t>教学大比武</w:t>
            </w:r>
          </w:p>
        </w:tc>
      </w:tr>
      <w:tr w:rsidR="00C86173">
        <w:trPr>
          <w:trHeight w:val="334"/>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96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目标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：举办初中教师教学大比武活动</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目标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：开展了</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年广元市教师教学大比武高中教师高考试题研究比赛</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举办了初中教师教学大比武活动。活动设</w:t>
            </w:r>
            <w:r>
              <w:rPr>
                <w:rFonts w:ascii="仿宋_GB2312" w:eastAsia="仿宋_GB2312" w:hAnsi="宋体" w:cs="宋体" w:hint="eastAsia"/>
                <w:kern w:val="0"/>
                <w:sz w:val="18"/>
                <w:szCs w:val="18"/>
              </w:rPr>
              <w:t>13</w:t>
            </w:r>
            <w:r>
              <w:rPr>
                <w:rFonts w:ascii="仿宋_GB2312" w:eastAsia="仿宋_GB2312" w:hAnsi="宋体" w:cs="宋体" w:hint="eastAsia"/>
                <w:kern w:val="0"/>
                <w:sz w:val="18"/>
                <w:szCs w:val="18"/>
              </w:rPr>
              <w:t>个学科组，共评出一等奖</w:t>
            </w:r>
            <w:r>
              <w:rPr>
                <w:rFonts w:ascii="仿宋_GB2312" w:eastAsia="仿宋_GB2312" w:hAnsi="宋体" w:cs="宋体" w:hint="eastAsia"/>
                <w:kern w:val="0"/>
                <w:sz w:val="18"/>
                <w:szCs w:val="18"/>
              </w:rPr>
              <w:t>39</w:t>
            </w:r>
            <w:r>
              <w:rPr>
                <w:rFonts w:ascii="仿宋_GB2312" w:eastAsia="仿宋_GB2312" w:hAnsi="宋体" w:cs="宋体" w:hint="eastAsia"/>
                <w:kern w:val="0"/>
                <w:sz w:val="18"/>
                <w:szCs w:val="18"/>
              </w:rPr>
              <w:t>个，二等奖</w:t>
            </w:r>
            <w:r>
              <w:rPr>
                <w:rFonts w:ascii="仿宋_GB2312" w:eastAsia="仿宋_GB2312" w:hAnsi="宋体" w:cs="宋体" w:hint="eastAsia"/>
                <w:kern w:val="0"/>
                <w:sz w:val="18"/>
                <w:szCs w:val="18"/>
              </w:rPr>
              <w:t>65</w:t>
            </w:r>
            <w:r>
              <w:rPr>
                <w:rFonts w:ascii="仿宋_GB2312" w:eastAsia="仿宋_GB2312" w:hAnsi="宋体" w:cs="宋体" w:hint="eastAsia"/>
                <w:kern w:val="0"/>
                <w:sz w:val="18"/>
                <w:szCs w:val="18"/>
              </w:rPr>
              <w:t>个，三等奖</w:t>
            </w:r>
            <w:r>
              <w:rPr>
                <w:rFonts w:ascii="仿宋_GB2312" w:eastAsia="仿宋_GB2312" w:hAnsi="宋体" w:cs="宋体" w:hint="eastAsia"/>
                <w:kern w:val="0"/>
                <w:sz w:val="18"/>
                <w:szCs w:val="18"/>
              </w:rPr>
              <w:t>91</w:t>
            </w:r>
            <w:r>
              <w:rPr>
                <w:rFonts w:ascii="仿宋_GB2312" w:eastAsia="仿宋_GB2312" w:hAnsi="宋体" w:cs="宋体" w:hint="eastAsia"/>
                <w:kern w:val="0"/>
                <w:sz w:val="18"/>
                <w:szCs w:val="18"/>
              </w:rPr>
              <w:t>个。一等奖获得者纳入人才培养梯队。</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开展了</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年广元市教师教学大比武高中教师高考试题研究比赛</w:t>
            </w:r>
          </w:p>
        </w:tc>
      </w:tr>
      <w:tr w:rsidR="00C86173">
        <w:trPr>
          <w:trHeight w:val="94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举办了初中教师教学大比武活动。活动设</w:t>
            </w:r>
            <w:r>
              <w:rPr>
                <w:rFonts w:ascii="仿宋_GB2312" w:eastAsia="仿宋_GB2312" w:hAnsi="宋体" w:cs="宋体" w:hint="eastAsia"/>
                <w:kern w:val="0"/>
                <w:sz w:val="18"/>
                <w:szCs w:val="18"/>
              </w:rPr>
              <w:t>13</w:t>
            </w:r>
            <w:r>
              <w:rPr>
                <w:rFonts w:ascii="仿宋_GB2312" w:eastAsia="仿宋_GB2312" w:hAnsi="宋体" w:cs="宋体" w:hint="eastAsia"/>
                <w:kern w:val="0"/>
                <w:sz w:val="18"/>
                <w:szCs w:val="18"/>
              </w:rPr>
              <w:t>个学科组，分三个阶段，初赛由学校或片区组织，半决赛由县区组织，决赛由市上组织。</w:t>
            </w:r>
            <w:r>
              <w:rPr>
                <w:rFonts w:ascii="仿宋_GB2312" w:eastAsia="仿宋_GB2312" w:hAnsi="宋体" w:cs="宋体" w:hint="eastAsia"/>
                <w:kern w:val="0"/>
                <w:sz w:val="18"/>
                <w:szCs w:val="18"/>
              </w:rPr>
              <w:t>260</w:t>
            </w:r>
            <w:r>
              <w:rPr>
                <w:rFonts w:ascii="仿宋_GB2312" w:eastAsia="仿宋_GB2312" w:hAnsi="宋体" w:cs="宋体" w:hint="eastAsia"/>
                <w:kern w:val="0"/>
                <w:sz w:val="18"/>
                <w:szCs w:val="18"/>
              </w:rPr>
              <w:t>人参加了市级决赛，每个学科组比武</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天，共评出一等奖</w:t>
            </w:r>
            <w:r>
              <w:rPr>
                <w:rFonts w:ascii="仿宋_GB2312" w:eastAsia="仿宋_GB2312" w:hAnsi="宋体" w:cs="宋体" w:hint="eastAsia"/>
                <w:kern w:val="0"/>
                <w:sz w:val="18"/>
                <w:szCs w:val="18"/>
              </w:rPr>
              <w:t>39</w:t>
            </w:r>
            <w:r>
              <w:rPr>
                <w:rFonts w:ascii="仿宋_GB2312" w:eastAsia="仿宋_GB2312" w:hAnsi="宋体" w:cs="宋体" w:hint="eastAsia"/>
                <w:kern w:val="0"/>
                <w:sz w:val="18"/>
                <w:szCs w:val="18"/>
              </w:rPr>
              <w:t>个，二等奖</w:t>
            </w:r>
            <w:r>
              <w:rPr>
                <w:rFonts w:ascii="仿宋_GB2312" w:eastAsia="仿宋_GB2312" w:hAnsi="宋体" w:cs="宋体" w:hint="eastAsia"/>
                <w:kern w:val="0"/>
                <w:sz w:val="18"/>
                <w:szCs w:val="18"/>
              </w:rPr>
              <w:t>65</w:t>
            </w:r>
            <w:r>
              <w:rPr>
                <w:rFonts w:ascii="仿宋_GB2312" w:eastAsia="仿宋_GB2312" w:hAnsi="宋体" w:cs="宋体" w:hint="eastAsia"/>
                <w:kern w:val="0"/>
                <w:sz w:val="18"/>
                <w:szCs w:val="18"/>
              </w:rPr>
              <w:t>个，三等奖</w:t>
            </w:r>
            <w:r>
              <w:rPr>
                <w:rFonts w:ascii="仿宋_GB2312" w:eastAsia="仿宋_GB2312" w:hAnsi="宋体" w:cs="宋体" w:hint="eastAsia"/>
                <w:kern w:val="0"/>
                <w:sz w:val="18"/>
                <w:szCs w:val="18"/>
              </w:rPr>
              <w:t>91</w:t>
            </w:r>
            <w:r>
              <w:rPr>
                <w:rFonts w:ascii="仿宋_GB2312" w:eastAsia="仿宋_GB2312" w:hAnsi="宋体" w:cs="宋体" w:hint="eastAsia"/>
                <w:kern w:val="0"/>
                <w:sz w:val="18"/>
                <w:szCs w:val="18"/>
              </w:rPr>
              <w:t>个。同时，将一等奖获得者纳入人才培养梯队，进行基于业务能力提升专题培训。开展了高中教师高考试题研究比赛活动，全市共</w:t>
            </w:r>
            <w:r>
              <w:rPr>
                <w:rFonts w:ascii="仿宋_GB2312" w:eastAsia="仿宋_GB2312" w:hAnsi="宋体" w:cs="宋体" w:hint="eastAsia"/>
                <w:kern w:val="0"/>
                <w:sz w:val="18"/>
                <w:szCs w:val="18"/>
              </w:rPr>
              <w:t>2150</w:t>
            </w:r>
            <w:r>
              <w:rPr>
                <w:rFonts w:ascii="仿宋_GB2312" w:eastAsia="仿宋_GB2312" w:hAnsi="宋体" w:cs="宋体" w:hint="eastAsia"/>
                <w:kern w:val="0"/>
                <w:sz w:val="18"/>
                <w:szCs w:val="18"/>
              </w:rPr>
              <w:t>名教师参加了比赛活动，</w:t>
            </w:r>
            <w:r>
              <w:rPr>
                <w:rFonts w:ascii="仿宋_GB2312" w:eastAsia="仿宋_GB2312" w:hAnsi="宋体" w:cs="宋体" w:hint="eastAsia"/>
                <w:kern w:val="0"/>
                <w:sz w:val="18"/>
                <w:szCs w:val="18"/>
              </w:rPr>
              <w:t>429</w:t>
            </w:r>
            <w:r>
              <w:rPr>
                <w:rFonts w:ascii="仿宋_GB2312" w:eastAsia="仿宋_GB2312" w:hAnsi="宋体" w:cs="宋体" w:hint="eastAsia"/>
                <w:kern w:val="0"/>
                <w:sz w:val="18"/>
                <w:szCs w:val="18"/>
              </w:rPr>
              <w:t>人获优胜奖</w:t>
            </w:r>
          </w:p>
        </w:tc>
      </w:tr>
      <w:tr w:rsidR="00C86173">
        <w:trPr>
          <w:trHeight w:val="480"/>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w:t>
            </w:r>
            <w:r>
              <w:rPr>
                <w:rFonts w:ascii="仿宋_GB2312" w:eastAsia="仿宋_GB2312" w:hAnsi="宋体" w:cs="宋体" w:hint="eastAsia"/>
                <w:kern w:val="0"/>
                <w:sz w:val="18"/>
                <w:szCs w:val="18"/>
              </w:rPr>
              <w:lastRenderedPageBreak/>
              <w:t>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该项目</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年资金来源为财政切块资金拨付，按要求不进入年初预算，为保障活动顺利开展，</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月财政预算调整追加</w:t>
            </w:r>
            <w:r>
              <w:rPr>
                <w:rFonts w:ascii="仿宋_GB2312" w:eastAsia="仿宋_GB2312" w:hAnsi="宋体" w:cs="宋体" w:hint="eastAsia"/>
                <w:kern w:val="0"/>
                <w:sz w:val="18"/>
                <w:szCs w:val="18"/>
              </w:rPr>
              <w:t>5.5</w:t>
            </w:r>
            <w:r>
              <w:rPr>
                <w:rFonts w:ascii="仿宋_GB2312" w:eastAsia="仿宋_GB2312" w:hAnsi="宋体" w:cs="宋体" w:hint="eastAsia"/>
                <w:kern w:val="0"/>
                <w:sz w:val="18"/>
                <w:szCs w:val="18"/>
              </w:rPr>
              <w:t>万元【广财教（</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141</w:t>
            </w:r>
            <w:r>
              <w:rPr>
                <w:rFonts w:ascii="仿宋_GB2312" w:eastAsia="仿宋_GB2312" w:hAnsi="宋体" w:cs="宋体" w:hint="eastAsia"/>
                <w:kern w:val="0"/>
                <w:sz w:val="18"/>
                <w:szCs w:val="18"/>
              </w:rPr>
              <w:t>】文，调整后预算数为</w:t>
            </w:r>
            <w:r>
              <w:rPr>
                <w:rFonts w:ascii="仿宋_GB2312" w:eastAsia="仿宋_GB2312" w:hAnsi="宋体" w:cs="宋体" w:hint="eastAsia"/>
                <w:kern w:val="0"/>
                <w:sz w:val="18"/>
                <w:szCs w:val="18"/>
              </w:rPr>
              <w:t>5.5</w:t>
            </w:r>
            <w:r>
              <w:rPr>
                <w:rFonts w:ascii="仿宋_GB2312" w:eastAsia="仿宋_GB2312" w:hAnsi="宋体" w:cs="宋体" w:hint="eastAsia"/>
                <w:kern w:val="0"/>
                <w:sz w:val="18"/>
                <w:szCs w:val="18"/>
              </w:rPr>
              <w:t>万元</w:t>
            </w: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auto"/>
              <w:bottom w:val="single" w:sz="4" w:space="0" w:color="000000"/>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auto"/>
              <w:bottom w:val="single" w:sz="4" w:space="0" w:color="000000"/>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分类别、分学科完成活动１次</w:t>
            </w:r>
          </w:p>
        </w:tc>
        <w:tc>
          <w:tcPr>
            <w:tcW w:w="668"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p>
        </w:tc>
        <w:tc>
          <w:tcPr>
            <w:tcW w:w="576"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single" w:sz="4" w:space="0" w:color="auto"/>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auto"/>
              <w:bottom w:val="single" w:sz="4" w:space="0" w:color="000000"/>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auto"/>
              <w:bottom w:val="single" w:sz="4" w:space="0" w:color="000000"/>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参赛人次</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2400</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人·次</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2410</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auto"/>
              <w:bottom w:val="single" w:sz="4" w:space="0" w:color="000000"/>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教师参赛率</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95</w:t>
            </w:r>
          </w:p>
        </w:tc>
        <w:tc>
          <w:tcPr>
            <w:tcW w:w="756"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auto"/>
              <w:bottom w:val="single" w:sz="4" w:space="0" w:color="000000"/>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项目完成时间</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完成时间</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成本指标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经济成本指标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项目总成本</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万元</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2112" w:type="dxa"/>
            <w:tcBorders>
              <w:top w:val="nil"/>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900"/>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可持</w:t>
            </w:r>
            <w:r>
              <w:rPr>
                <w:rFonts w:ascii="仿宋_GB2312" w:eastAsia="仿宋_GB2312" w:hAnsi="宋体" w:cs="宋体" w:hint="eastAsia"/>
                <w:kern w:val="0"/>
                <w:sz w:val="18"/>
                <w:szCs w:val="18"/>
              </w:rPr>
              <w:t>续影响指标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对提升教师业务水平，健全全市教师队伍建设的持续影响程度</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优</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20"/>
                <w:szCs w:val="20"/>
              </w:rPr>
            </w:pP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良</w:t>
            </w:r>
          </w:p>
        </w:tc>
        <w:tc>
          <w:tcPr>
            <w:tcW w:w="576"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20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w:t>
            </w:r>
          </w:p>
        </w:tc>
        <w:tc>
          <w:tcPr>
            <w:tcW w:w="211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教师参赛面仍显不足，区域间还存在较大差异，可持续影响程度有待提高</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96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1319"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教师满意度指标</w:t>
            </w:r>
          </w:p>
        </w:tc>
        <w:tc>
          <w:tcPr>
            <w:tcW w:w="668"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95</w:t>
            </w:r>
          </w:p>
        </w:tc>
        <w:tc>
          <w:tcPr>
            <w:tcW w:w="756"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95</w:t>
            </w:r>
          </w:p>
        </w:tc>
        <w:tc>
          <w:tcPr>
            <w:tcW w:w="576"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nil"/>
              <w:bottom w:val="single" w:sz="4" w:space="0" w:color="auto"/>
              <w:right w:val="single" w:sz="4"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0</w:t>
            </w:r>
          </w:p>
        </w:tc>
        <w:tc>
          <w:tcPr>
            <w:tcW w:w="666"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98</w:t>
            </w:r>
          </w:p>
        </w:tc>
        <w:tc>
          <w:tcPr>
            <w:tcW w:w="2112" w:type="dxa"/>
            <w:tcBorders>
              <w:top w:val="single" w:sz="4" w:space="0" w:color="000000"/>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72"/>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88</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98</w:t>
            </w:r>
            <w:r>
              <w:rPr>
                <w:rFonts w:ascii="仿宋_GB2312" w:eastAsia="仿宋_GB2312" w:hAnsi="宋体" w:cs="宋体" w:hint="eastAsia"/>
                <w:kern w:val="0"/>
                <w:sz w:val="18"/>
                <w:szCs w:val="18"/>
              </w:rPr>
              <w:t>分，达到预期目标。我所通过加强预算收支管理，不断建立健全内部管理制度，强化内部管理流程，保障专项资金专款专用，保证了教师教学能力比赛活动顺利开展，推进了新课程标准的落地实施，促进了课堂教学改革工作的深化发展，提高了课堂教学效益。</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受经费等制约，教师参赛面仍显不足，区域间还存在较大差异。可持续影响指标有待提高。</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争取增加活动经费，扩大教师参赛面，开展更多教师竞教活动，缩小区域间差异。提高项目效益使可持续影响指标达到优。</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项目负责人：尚竞</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51080022T000005513725-</w:t>
            </w:r>
            <w:r>
              <w:rPr>
                <w:rFonts w:ascii="仿宋_GB2312" w:eastAsia="仿宋_GB2312" w:hAnsi="宋体" w:cs="宋体" w:hint="eastAsia"/>
                <w:kern w:val="0"/>
                <w:sz w:val="18"/>
                <w:szCs w:val="18"/>
              </w:rPr>
              <w:t>全市教学质量监测、研讨经费</w:t>
            </w:r>
          </w:p>
        </w:tc>
      </w:tr>
      <w:tr w:rsidR="00C86173">
        <w:trPr>
          <w:trHeight w:val="404"/>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92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目标</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完成教学研究、管理、指导、培训等工作</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目标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完成教育科研课题管理、指导工作</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目标</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开展全市教学监测评估、研讨工作</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按照</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年全市教学质量监测</w:t>
            </w:r>
            <w:r>
              <w:rPr>
                <w:rFonts w:ascii="仿宋_GB2312" w:eastAsia="仿宋_GB2312" w:hAnsi="宋体" w:cs="宋体" w:hint="eastAsia"/>
                <w:kern w:val="0"/>
                <w:sz w:val="18"/>
                <w:szCs w:val="18"/>
              </w:rPr>
              <w:t>工作计划，开展小学、初中、普通高中、职业高中各年级</w:t>
            </w:r>
            <w:r>
              <w:rPr>
                <w:rFonts w:ascii="仿宋_GB2312" w:eastAsia="仿宋_GB2312" w:hAnsi="宋体" w:cs="宋体" w:hint="eastAsia"/>
                <w:kern w:val="0"/>
                <w:sz w:val="18"/>
                <w:szCs w:val="18"/>
              </w:rPr>
              <w:t>16</w:t>
            </w:r>
            <w:r>
              <w:rPr>
                <w:rFonts w:ascii="仿宋_GB2312" w:eastAsia="仿宋_GB2312" w:hAnsi="宋体" w:cs="宋体" w:hint="eastAsia"/>
                <w:kern w:val="0"/>
                <w:sz w:val="18"/>
                <w:szCs w:val="18"/>
              </w:rPr>
              <w:t>次教学质量监测评估工作；完成了教学研讨、学校调研视导及高中教学工作会</w:t>
            </w:r>
          </w:p>
        </w:tc>
      </w:tr>
      <w:tr w:rsidR="00C86173">
        <w:trPr>
          <w:trHeight w:val="202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一、按照</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年全市教学质量监测工作计划，本年度共开展小学、初中、普通高中、职业高中各年级</w:t>
            </w:r>
            <w:r>
              <w:rPr>
                <w:rFonts w:ascii="仿宋_GB2312" w:eastAsia="仿宋_GB2312" w:hAnsi="宋体" w:cs="宋体" w:hint="eastAsia"/>
                <w:kern w:val="0"/>
                <w:sz w:val="18"/>
                <w:szCs w:val="18"/>
              </w:rPr>
              <w:t>16</w:t>
            </w:r>
            <w:r>
              <w:rPr>
                <w:rFonts w:ascii="仿宋_GB2312" w:eastAsia="仿宋_GB2312" w:hAnsi="宋体" w:cs="宋体" w:hint="eastAsia"/>
                <w:kern w:val="0"/>
                <w:sz w:val="18"/>
                <w:szCs w:val="18"/>
              </w:rPr>
              <w:t>次教学质量监测工作；二、开展了落实新课标新教材的课堂教学专项展评。今年</w:t>
            </w:r>
            <w:r>
              <w:rPr>
                <w:rFonts w:ascii="仿宋_GB2312" w:eastAsia="仿宋_GB2312" w:hAnsi="宋体" w:cs="宋体" w:hint="eastAsia"/>
                <w:kern w:val="0"/>
                <w:sz w:val="18"/>
                <w:szCs w:val="18"/>
              </w:rPr>
              <w:t>12</w:t>
            </w:r>
            <w:r>
              <w:rPr>
                <w:rFonts w:ascii="仿宋_GB2312" w:eastAsia="仿宋_GB2312" w:hAnsi="宋体" w:cs="宋体" w:hint="eastAsia"/>
                <w:kern w:val="0"/>
                <w:sz w:val="18"/>
                <w:szCs w:val="18"/>
              </w:rPr>
              <w:t>月，组织高中语文、政治、历史、化学，初中语文、数学，小学语文、数学共</w:t>
            </w:r>
            <w:r>
              <w:rPr>
                <w:rFonts w:ascii="仿宋_GB2312" w:eastAsia="仿宋_GB2312" w:hAnsi="宋体" w:cs="宋体" w:hint="eastAsia"/>
                <w:kern w:val="0"/>
                <w:sz w:val="18"/>
                <w:szCs w:val="18"/>
              </w:rPr>
              <w:t>8</w:t>
            </w:r>
            <w:r>
              <w:rPr>
                <w:rFonts w:ascii="仿宋_GB2312" w:eastAsia="仿宋_GB2312" w:hAnsi="宋体" w:cs="宋体" w:hint="eastAsia"/>
                <w:kern w:val="0"/>
                <w:sz w:val="18"/>
                <w:szCs w:val="18"/>
              </w:rPr>
              <w:t>个学科进行了课堂教学展评，主要展示各学科在课堂教学这一关键环节对新课标、新教材的理解和把握，呈现了具有学科特点的课堂教学范式，共上示范课</w:t>
            </w:r>
            <w:r>
              <w:rPr>
                <w:rFonts w:ascii="仿宋_GB2312" w:eastAsia="仿宋_GB2312" w:hAnsi="宋体" w:cs="宋体" w:hint="eastAsia"/>
                <w:kern w:val="0"/>
                <w:sz w:val="18"/>
                <w:szCs w:val="18"/>
              </w:rPr>
              <w:t>18</w:t>
            </w:r>
            <w:r>
              <w:rPr>
                <w:rFonts w:ascii="仿宋_GB2312" w:eastAsia="仿宋_GB2312" w:hAnsi="宋体" w:cs="宋体" w:hint="eastAsia"/>
                <w:kern w:val="0"/>
                <w:sz w:val="18"/>
                <w:szCs w:val="18"/>
              </w:rPr>
              <w:t>节，</w:t>
            </w:r>
            <w:r>
              <w:rPr>
                <w:rFonts w:ascii="仿宋_GB2312" w:eastAsia="仿宋_GB2312" w:hAnsi="宋体" w:cs="宋体" w:hint="eastAsia"/>
                <w:kern w:val="0"/>
                <w:sz w:val="18"/>
                <w:szCs w:val="18"/>
              </w:rPr>
              <w:t>18</w:t>
            </w:r>
            <w:r>
              <w:rPr>
                <w:rFonts w:ascii="仿宋_GB2312" w:eastAsia="仿宋_GB2312" w:hAnsi="宋体" w:cs="宋体" w:hint="eastAsia"/>
                <w:kern w:val="0"/>
                <w:sz w:val="18"/>
                <w:szCs w:val="18"/>
              </w:rPr>
              <w:t>位老师进行点评交流，</w:t>
            </w: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位专家作专题辅导；三、先后深入广元中学、苍溪中学、剑阁中学、旺苍中学、国华中学、虎跳中学等</w:t>
            </w:r>
            <w:r>
              <w:rPr>
                <w:rFonts w:ascii="仿宋_GB2312" w:eastAsia="仿宋_GB2312" w:hAnsi="宋体" w:cs="宋体" w:hint="eastAsia"/>
                <w:kern w:val="0"/>
                <w:sz w:val="18"/>
                <w:szCs w:val="18"/>
              </w:rPr>
              <w:t>30</w:t>
            </w:r>
            <w:r>
              <w:rPr>
                <w:rFonts w:ascii="仿宋_GB2312" w:eastAsia="仿宋_GB2312" w:hAnsi="宋体" w:cs="宋体" w:hint="eastAsia"/>
                <w:kern w:val="0"/>
                <w:sz w:val="18"/>
                <w:szCs w:val="18"/>
              </w:rPr>
              <w:t>余所学校</w:t>
            </w:r>
            <w:r>
              <w:rPr>
                <w:rFonts w:ascii="仿宋_GB2312" w:eastAsia="仿宋_GB2312" w:hAnsi="宋体" w:cs="宋体" w:hint="eastAsia"/>
                <w:kern w:val="0"/>
                <w:sz w:val="18"/>
                <w:szCs w:val="18"/>
              </w:rPr>
              <w:t>开展教学视导工作。通过听评课、查阅资料和座谈等形式了解学校管理和教育教学现状，分析、总结学校好的做法和存在问题，提出意见和建议。分析学情，研究复习备考的策略方法，研判高考命题的走向和趋势，为提高复习备考的有效性献计献策；四、开展了</w:t>
            </w:r>
            <w:r>
              <w:rPr>
                <w:rFonts w:ascii="仿宋_GB2312" w:eastAsia="仿宋_GB2312" w:hAnsi="宋体" w:cs="宋体" w:hint="eastAsia"/>
                <w:kern w:val="0"/>
                <w:sz w:val="18"/>
                <w:szCs w:val="18"/>
              </w:rPr>
              <w:t xml:space="preserve"> 2022 </w:t>
            </w:r>
            <w:r>
              <w:rPr>
                <w:rFonts w:ascii="仿宋_GB2312" w:eastAsia="仿宋_GB2312" w:hAnsi="宋体" w:cs="宋体" w:hint="eastAsia"/>
                <w:kern w:val="0"/>
                <w:sz w:val="18"/>
                <w:szCs w:val="18"/>
              </w:rPr>
              <w:t>年高中课堂教学区域研讨活动；五、开展大量的常规教研活动</w:t>
            </w:r>
          </w:p>
        </w:tc>
      </w:tr>
      <w:tr w:rsidR="00C86173">
        <w:trPr>
          <w:trHeight w:val="480"/>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92.50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92.50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该项目资金从财政切块资金拨付，按要求不纳入年初预算，</w:t>
            </w:r>
            <w:r>
              <w:rPr>
                <w:rFonts w:ascii="仿宋_GB2312" w:eastAsia="仿宋_GB2312" w:hAnsi="宋体" w:cs="宋体" w:hint="eastAsia"/>
                <w:kern w:val="0"/>
                <w:sz w:val="18"/>
                <w:szCs w:val="18"/>
              </w:rPr>
              <w:t>9</w:t>
            </w:r>
            <w:r>
              <w:rPr>
                <w:rFonts w:ascii="仿宋_GB2312" w:eastAsia="仿宋_GB2312" w:hAnsi="宋体" w:cs="宋体" w:hint="eastAsia"/>
                <w:kern w:val="0"/>
                <w:sz w:val="18"/>
                <w:szCs w:val="18"/>
              </w:rPr>
              <w:t>月财政预算</w:t>
            </w:r>
            <w:r>
              <w:rPr>
                <w:rFonts w:ascii="仿宋_GB2312" w:eastAsia="仿宋_GB2312" w:hAnsi="宋体" w:cs="宋体" w:hint="eastAsia"/>
                <w:kern w:val="0"/>
                <w:sz w:val="18"/>
                <w:szCs w:val="18"/>
              </w:rPr>
              <w:lastRenderedPageBreak/>
              <w:t>调整追加</w:t>
            </w:r>
            <w:r>
              <w:rPr>
                <w:rFonts w:ascii="仿宋_GB2312" w:eastAsia="仿宋_GB2312" w:hAnsi="宋体" w:cs="宋体" w:hint="eastAsia"/>
                <w:kern w:val="0"/>
                <w:sz w:val="18"/>
                <w:szCs w:val="18"/>
              </w:rPr>
              <w:t>92.5</w:t>
            </w:r>
            <w:r>
              <w:rPr>
                <w:rFonts w:ascii="仿宋_GB2312" w:eastAsia="仿宋_GB2312" w:hAnsi="宋体" w:cs="宋体" w:hint="eastAsia"/>
                <w:kern w:val="0"/>
                <w:sz w:val="18"/>
                <w:szCs w:val="18"/>
              </w:rPr>
              <w:t>万元【广财教（</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092</w:t>
            </w:r>
            <w:r>
              <w:rPr>
                <w:rFonts w:ascii="仿宋_GB2312" w:eastAsia="仿宋_GB2312" w:hAnsi="宋体" w:cs="宋体" w:hint="eastAsia"/>
                <w:kern w:val="0"/>
                <w:sz w:val="18"/>
                <w:szCs w:val="18"/>
              </w:rPr>
              <w:t>】文，调整后预算数为</w:t>
            </w:r>
            <w:r>
              <w:rPr>
                <w:rFonts w:ascii="仿宋_GB2312" w:eastAsia="仿宋_GB2312" w:hAnsi="宋体" w:cs="宋体" w:hint="eastAsia"/>
                <w:kern w:val="0"/>
                <w:sz w:val="18"/>
                <w:szCs w:val="18"/>
              </w:rPr>
              <w:t>92.5</w:t>
            </w:r>
            <w:r>
              <w:rPr>
                <w:rFonts w:ascii="仿宋_GB2312" w:eastAsia="仿宋_GB2312" w:hAnsi="宋体" w:cs="宋体" w:hint="eastAsia"/>
                <w:kern w:val="0"/>
                <w:sz w:val="18"/>
                <w:szCs w:val="18"/>
              </w:rPr>
              <w:t>万元。</w:t>
            </w: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92.50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92.50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nil"/>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nil"/>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nil"/>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single" w:sz="8" w:space="0" w:color="000000"/>
              <w:left w:val="single" w:sz="8" w:space="0" w:color="auto"/>
              <w:bottom w:val="single" w:sz="8" w:space="0" w:color="000000"/>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各学科开展一次及以上教学研究活动</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single" w:sz="4" w:space="0" w:color="auto"/>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p>
        </w:tc>
        <w:tc>
          <w:tcPr>
            <w:tcW w:w="576"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single" w:sz="8" w:space="0" w:color="000000"/>
              <w:left w:val="single" w:sz="8" w:space="0" w:color="000000"/>
              <w:bottom w:val="single" w:sz="8" w:space="0" w:color="000000"/>
              <w:right w:val="single" w:sz="8"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single" w:sz="8" w:space="0" w:color="000000"/>
              <w:left w:val="single" w:sz="8" w:space="0" w:color="auto"/>
              <w:bottom w:val="single" w:sz="8" w:space="0" w:color="000000"/>
              <w:right w:val="single" w:sz="8"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开展全市教学监测评估工作</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宋体" w:hAnsi="宋体" w:cs="宋体"/>
                <w:kern w:val="0"/>
                <w:sz w:val="18"/>
                <w:szCs w:val="18"/>
              </w:rPr>
            </w:pPr>
            <w:r>
              <w:rPr>
                <w:rFonts w:ascii="宋体" w:hAnsi="宋体" w:cs="宋体" w:hint="eastAsia"/>
                <w:kern w:val="0"/>
                <w:sz w:val="18"/>
                <w:szCs w:val="18"/>
              </w:rPr>
              <w:t>16</w:t>
            </w:r>
          </w:p>
        </w:tc>
        <w:tc>
          <w:tcPr>
            <w:tcW w:w="576"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single" w:sz="8" w:space="0" w:color="000000"/>
              <w:left w:val="single" w:sz="8" w:space="0" w:color="000000"/>
              <w:bottom w:val="single" w:sz="8" w:space="0" w:color="000000"/>
              <w:right w:val="single" w:sz="8"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监测评估学校完成率</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single" w:sz="4" w:space="0" w:color="auto"/>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100</w:t>
            </w:r>
          </w:p>
        </w:tc>
        <w:tc>
          <w:tcPr>
            <w:tcW w:w="756" w:type="dxa"/>
            <w:gridSpan w:val="2"/>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宋体" w:hAnsi="宋体" w:cs="宋体"/>
                <w:kern w:val="0"/>
                <w:sz w:val="20"/>
                <w:szCs w:val="20"/>
              </w:rPr>
            </w:pPr>
            <w:r>
              <w:rPr>
                <w:rFonts w:ascii="宋体" w:hAnsi="宋体" w:cs="宋体" w:hint="eastAsia"/>
                <w:kern w:val="0"/>
                <w:sz w:val="20"/>
                <w:szCs w:val="20"/>
              </w:rPr>
              <w:t>100</w:t>
            </w:r>
          </w:p>
        </w:tc>
        <w:tc>
          <w:tcPr>
            <w:tcW w:w="576"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single" w:sz="8" w:space="0" w:color="000000"/>
              <w:left w:val="single" w:sz="8" w:space="0" w:color="000000"/>
              <w:bottom w:val="single" w:sz="8" w:space="0" w:color="000000"/>
              <w:right w:val="single" w:sz="8" w:space="0" w:color="auto"/>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项目完成时间</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完成时间</w:t>
            </w:r>
          </w:p>
        </w:tc>
        <w:tc>
          <w:tcPr>
            <w:tcW w:w="590" w:type="dxa"/>
            <w:gridSpan w:val="2"/>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76"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成本指标</w:t>
            </w:r>
          </w:p>
        </w:tc>
        <w:tc>
          <w:tcPr>
            <w:tcW w:w="962"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经济成本指标</w:t>
            </w: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教育质量监测成本</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single" w:sz="4" w:space="0" w:color="auto"/>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92.5</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万元</w:t>
            </w:r>
          </w:p>
        </w:tc>
        <w:tc>
          <w:tcPr>
            <w:tcW w:w="1322" w:type="dxa"/>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宋体" w:hAnsi="宋体" w:cs="宋体"/>
                <w:kern w:val="0"/>
                <w:sz w:val="18"/>
                <w:szCs w:val="18"/>
              </w:rPr>
            </w:pPr>
            <w:r>
              <w:rPr>
                <w:rFonts w:ascii="宋体" w:hAnsi="宋体" w:cs="宋体" w:hint="eastAsia"/>
                <w:kern w:val="0"/>
                <w:sz w:val="18"/>
                <w:szCs w:val="18"/>
              </w:rPr>
              <w:t>92.5</w:t>
            </w:r>
          </w:p>
        </w:tc>
        <w:tc>
          <w:tcPr>
            <w:tcW w:w="576"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92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可持续影响指标</w:t>
            </w: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持续提升广元教育质量</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single" w:sz="4" w:space="0" w:color="auto"/>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90</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宋体" w:hAnsi="宋体" w:cs="宋体"/>
                <w:kern w:val="0"/>
                <w:sz w:val="20"/>
                <w:szCs w:val="20"/>
              </w:rPr>
            </w:pPr>
            <w:r>
              <w:rPr>
                <w:rFonts w:ascii="宋体" w:hAnsi="宋体" w:cs="宋体" w:hint="eastAsia"/>
                <w:kern w:val="0"/>
                <w:sz w:val="20"/>
                <w:szCs w:val="20"/>
              </w:rPr>
              <w:t>90</w:t>
            </w:r>
          </w:p>
        </w:tc>
        <w:tc>
          <w:tcPr>
            <w:tcW w:w="576" w:type="dxa"/>
            <w:tcBorders>
              <w:top w:val="nil"/>
              <w:left w:val="nil"/>
              <w:bottom w:val="single" w:sz="8" w:space="0" w:color="000000"/>
              <w:right w:val="single" w:sz="8"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666" w:type="dxa"/>
            <w:gridSpan w:val="2"/>
            <w:tcBorders>
              <w:top w:val="nil"/>
              <w:left w:val="nil"/>
              <w:bottom w:val="single" w:sz="8" w:space="0" w:color="000000"/>
              <w:right w:val="single" w:sz="8"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教师参赛面仍显不足，区域间还存在较大差异，可持续影响程度有待提高</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962"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满意度指标</w:t>
            </w:r>
          </w:p>
        </w:tc>
        <w:tc>
          <w:tcPr>
            <w:tcW w:w="1319" w:type="dxa"/>
            <w:tcBorders>
              <w:top w:val="nil"/>
              <w:left w:val="nil"/>
              <w:bottom w:val="single" w:sz="8" w:space="0" w:color="auto"/>
              <w:right w:val="single" w:sz="8"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学校、学生满意度指标</w:t>
            </w:r>
          </w:p>
        </w:tc>
        <w:tc>
          <w:tcPr>
            <w:tcW w:w="668" w:type="dxa"/>
            <w:tcBorders>
              <w:top w:val="nil"/>
              <w:left w:val="nil"/>
              <w:bottom w:val="single" w:sz="8" w:space="0" w:color="auto"/>
              <w:right w:val="nil"/>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single" w:sz="4" w:space="0" w:color="auto"/>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90</w:t>
            </w:r>
          </w:p>
        </w:tc>
        <w:tc>
          <w:tcPr>
            <w:tcW w:w="756" w:type="dxa"/>
            <w:gridSpan w:val="2"/>
            <w:tcBorders>
              <w:top w:val="nil"/>
              <w:left w:val="nil"/>
              <w:bottom w:val="single" w:sz="4" w:space="0" w:color="auto"/>
              <w:right w:val="single" w:sz="4" w:space="0" w:color="auto"/>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auto"/>
              <w:right w:val="single" w:sz="4" w:space="0" w:color="auto"/>
            </w:tcBorders>
            <w:shd w:val="clear" w:color="auto" w:fill="auto"/>
            <w:noWrap/>
            <w:vAlign w:val="center"/>
          </w:tcPr>
          <w:p w:rsidR="00C86173" w:rsidRDefault="00CC65C4">
            <w:pPr>
              <w:widowControl/>
              <w:spacing w:line="240" w:lineRule="exact"/>
              <w:jc w:val="center"/>
              <w:rPr>
                <w:rFonts w:ascii="宋体" w:hAnsi="宋体" w:cs="宋体"/>
                <w:kern w:val="0"/>
                <w:sz w:val="20"/>
                <w:szCs w:val="20"/>
              </w:rPr>
            </w:pPr>
            <w:r>
              <w:rPr>
                <w:rFonts w:ascii="宋体" w:hAnsi="宋体" w:cs="宋体" w:hint="eastAsia"/>
                <w:kern w:val="0"/>
                <w:sz w:val="20"/>
                <w:szCs w:val="20"/>
              </w:rPr>
              <w:t>90</w:t>
            </w:r>
          </w:p>
        </w:tc>
        <w:tc>
          <w:tcPr>
            <w:tcW w:w="576" w:type="dxa"/>
            <w:tcBorders>
              <w:top w:val="nil"/>
              <w:left w:val="nil"/>
              <w:bottom w:val="single" w:sz="8" w:space="0" w:color="000000"/>
              <w:right w:val="single" w:sz="8"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8" w:space="0" w:color="000000"/>
              <w:right w:val="single" w:sz="8"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8" w:space="0" w:color="000000"/>
              <w:right w:val="single" w:sz="8"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98</w:t>
            </w:r>
          </w:p>
        </w:tc>
        <w:tc>
          <w:tcPr>
            <w:tcW w:w="2112" w:type="dxa"/>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1128"/>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88</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98</w:t>
            </w:r>
            <w:r>
              <w:rPr>
                <w:rFonts w:ascii="仿宋_GB2312" w:eastAsia="仿宋_GB2312" w:hAnsi="宋体" w:cs="宋体" w:hint="eastAsia"/>
                <w:kern w:val="0"/>
                <w:sz w:val="18"/>
                <w:szCs w:val="18"/>
              </w:rPr>
              <w:t>分，达到预期目标。通过监测积极探索，重视起点，关注过程，形成了增值评价学校、学生的评价新方式，增值性评价有力推动了小初高一体化发展。以学生入口成绩即中考成绩确定高中学校过程的标高，以此为依据衡量学校教育、教学、管理过程是否科学、有效；以学生高考成绩为出口，追溯其初中、小学的培养成效。同时总结和提炼学校行之有效的教育、教学和管理行为，教师行之有效的教育思想、教育理念、教学方式和策略。从而建立质量标准体系，促进了城乡教育</w:t>
            </w:r>
            <w:r>
              <w:rPr>
                <w:rFonts w:ascii="仿宋_GB2312" w:eastAsia="仿宋_GB2312" w:hAnsi="宋体" w:cs="宋体" w:hint="eastAsia"/>
                <w:kern w:val="0"/>
                <w:sz w:val="18"/>
                <w:szCs w:val="18"/>
              </w:rPr>
              <w:t>优质均衡发展。</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受经费不充足、研究师资力量薄弱等原因，教学质量监测的项目还不够丰富，监测试题的质量还需持续的进一步提升；</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项目资金未纳入年初预算，执行进度受到影响；</w:t>
            </w: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可持续影响指标及学校、学生满意度指标值有待提高。</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为保障工作顺利开展，争取该项目资金纳入财政年初预算；</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进一步加强项目资金管理，坚持厉行节约，提高预算编制质量，细化指标时做到应编尽编，更好的保障资金使用效益，提升可持续影响指标完成值，达到提高绩效目标。</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项目负责人：赵开新</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51080022T000006113722-</w:t>
            </w:r>
            <w:r>
              <w:rPr>
                <w:rFonts w:ascii="仿宋_GB2312" w:eastAsia="仿宋_GB2312" w:hAnsi="宋体" w:cs="宋体" w:hint="eastAsia"/>
                <w:kern w:val="0"/>
                <w:sz w:val="18"/>
                <w:szCs w:val="18"/>
              </w:rPr>
              <w:t>职业年金</w:t>
            </w:r>
          </w:p>
        </w:tc>
      </w:tr>
      <w:tr w:rsidR="00C86173">
        <w:trPr>
          <w:trHeight w:val="379"/>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60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严格执行相关政策，保障职工保险及时缴纳，预算编制科学合理，减少结余资金</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严格执行相关政策，按财政及社保要求，及时申报、缴纳单位当年退休职工职业年金，年末无结余结转资金</w:t>
            </w:r>
          </w:p>
        </w:tc>
      </w:tr>
      <w:tr w:rsidR="00C86173">
        <w:trPr>
          <w:trHeight w:val="51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严格执行相关政策，按财政及社保要求，及时申报、缴纳单位当年退休职工职业年金，年末无结余结转资金</w:t>
            </w:r>
          </w:p>
        </w:tc>
      </w:tr>
      <w:tr w:rsidR="00C86173">
        <w:trPr>
          <w:trHeight w:val="468"/>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1.87</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1.87</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1.87</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1.87</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1.87</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1.87</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60"/>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分，达到预期目标。我所通过加强预算收支管理，不断建立健全内部管理制度，强化内部管理流程，严格执行相关政策，按财政及社保要求，及时缴纳单位当年退休职工职业年金，年末无结余结转资金。</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Cs/>
                <w:kern w:val="0"/>
                <w:sz w:val="18"/>
                <w:szCs w:val="18"/>
              </w:rPr>
            </w:pPr>
            <w:r>
              <w:rPr>
                <w:rFonts w:ascii="仿宋_GB2312" w:eastAsia="仿宋_GB2312" w:hAnsi="宋体" w:cs="宋体" w:hint="eastAsia"/>
                <w:iCs/>
                <w:kern w:val="0"/>
                <w:sz w:val="18"/>
                <w:szCs w:val="18"/>
              </w:rPr>
              <w:t>无</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576"/>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51080022Y000000267568-</w:t>
            </w:r>
            <w:r>
              <w:rPr>
                <w:rFonts w:ascii="仿宋_GB2312" w:eastAsia="仿宋_GB2312" w:hAnsi="宋体" w:cs="宋体" w:hint="eastAsia"/>
                <w:kern w:val="0"/>
                <w:sz w:val="18"/>
                <w:szCs w:val="18"/>
              </w:rPr>
              <w:t>定额公用经费（事业）</w:t>
            </w:r>
          </w:p>
        </w:tc>
      </w:tr>
      <w:tr w:rsidR="00C86173">
        <w:trPr>
          <w:trHeight w:val="322"/>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36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保障单位日常运转，提高预算编制质量，严格执行预算</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保障单位日常运转，提高预算编制质量，严格执行预算</w:t>
            </w:r>
          </w:p>
        </w:tc>
      </w:tr>
      <w:tr w:rsidR="00C86173">
        <w:trPr>
          <w:trHeight w:val="51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严格执行相关政策，保障单位日常运转，提高预算编制质量，严格执行预算</w:t>
            </w:r>
          </w:p>
        </w:tc>
      </w:tr>
      <w:tr w:rsidR="00C86173">
        <w:trPr>
          <w:trHeight w:val="394"/>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28.80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28.27</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28.15</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99.60%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9.8</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因厉行节约，财政压缩公用支出，追减预算</w:t>
            </w:r>
            <w:r>
              <w:rPr>
                <w:rFonts w:ascii="仿宋_GB2312" w:eastAsia="仿宋_GB2312" w:hAnsi="宋体" w:cs="宋体" w:hint="eastAsia"/>
                <w:kern w:val="0"/>
                <w:sz w:val="18"/>
                <w:szCs w:val="18"/>
              </w:rPr>
              <w:t>0.53</w:t>
            </w:r>
            <w:r>
              <w:rPr>
                <w:rFonts w:ascii="仿宋_GB2312" w:eastAsia="仿宋_GB2312" w:hAnsi="宋体" w:cs="宋体" w:hint="eastAsia"/>
                <w:kern w:val="0"/>
                <w:sz w:val="18"/>
                <w:szCs w:val="18"/>
              </w:rPr>
              <w:t>万元，故调整后预算数为</w:t>
            </w:r>
            <w:r>
              <w:rPr>
                <w:rFonts w:ascii="仿宋_GB2312" w:eastAsia="仿宋_GB2312" w:hAnsi="宋体" w:cs="宋体" w:hint="eastAsia"/>
                <w:kern w:val="0"/>
                <w:sz w:val="18"/>
                <w:szCs w:val="18"/>
              </w:rPr>
              <w:t>28.27</w:t>
            </w:r>
            <w:r>
              <w:rPr>
                <w:rFonts w:ascii="仿宋_GB2312" w:eastAsia="仿宋_GB2312" w:hAnsi="宋体" w:cs="宋体" w:hint="eastAsia"/>
                <w:kern w:val="0"/>
                <w:sz w:val="18"/>
                <w:szCs w:val="18"/>
              </w:rPr>
              <w:t>万元。</w:t>
            </w:r>
            <w:r>
              <w:rPr>
                <w:rFonts w:ascii="仿宋_GB2312" w:eastAsia="仿宋_GB2312" w:hAnsi="宋体" w:cs="宋体" w:hint="eastAsia"/>
                <w:kern w:val="0"/>
                <w:sz w:val="18"/>
                <w:szCs w:val="18"/>
              </w:rPr>
              <w:br/>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政府采购办公桌椅</w:t>
            </w: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lastRenderedPageBreak/>
              <w:t>套，预算</w:t>
            </w:r>
            <w:r>
              <w:rPr>
                <w:rFonts w:ascii="仿宋_GB2312" w:eastAsia="仿宋_GB2312" w:hAnsi="宋体" w:cs="宋体" w:hint="eastAsia"/>
                <w:kern w:val="0"/>
                <w:sz w:val="18"/>
                <w:szCs w:val="18"/>
              </w:rPr>
              <w:t>0.2</w:t>
            </w:r>
            <w:r>
              <w:rPr>
                <w:rFonts w:ascii="仿宋_GB2312" w:eastAsia="仿宋_GB2312" w:hAnsi="宋体" w:cs="宋体" w:hint="eastAsia"/>
                <w:kern w:val="0"/>
                <w:sz w:val="18"/>
                <w:szCs w:val="18"/>
              </w:rPr>
              <w:t>万元，实际支付</w:t>
            </w:r>
            <w:r>
              <w:rPr>
                <w:rFonts w:ascii="仿宋_GB2312" w:eastAsia="仿宋_GB2312" w:hAnsi="宋体" w:cs="宋体" w:hint="eastAsia"/>
                <w:kern w:val="0"/>
                <w:sz w:val="18"/>
                <w:szCs w:val="18"/>
              </w:rPr>
              <w:t>0.186</w:t>
            </w:r>
            <w:r>
              <w:rPr>
                <w:rFonts w:ascii="仿宋_GB2312" w:eastAsia="仿宋_GB2312" w:hAnsi="宋体" w:cs="宋体" w:hint="eastAsia"/>
                <w:kern w:val="0"/>
                <w:sz w:val="18"/>
                <w:szCs w:val="18"/>
              </w:rPr>
              <w:t>万元，预算购置打印机</w:t>
            </w:r>
            <w:r>
              <w:rPr>
                <w:rFonts w:ascii="仿宋_GB2312" w:eastAsia="仿宋_GB2312" w:hAnsi="宋体" w:cs="宋体" w:hint="eastAsia"/>
                <w:kern w:val="0"/>
                <w:sz w:val="18"/>
                <w:szCs w:val="18"/>
              </w:rPr>
              <w:t>0.1</w:t>
            </w:r>
            <w:r>
              <w:rPr>
                <w:rFonts w:ascii="仿宋_GB2312" w:eastAsia="仿宋_GB2312" w:hAnsi="宋体" w:cs="宋体" w:hint="eastAsia"/>
                <w:kern w:val="0"/>
                <w:sz w:val="18"/>
                <w:szCs w:val="18"/>
              </w:rPr>
              <w:t>万元，因采购要求变更，需购买国产安可机，采购指标不予调剂，金额不足无法采购。故预算执行率为</w:t>
            </w:r>
            <w:r>
              <w:rPr>
                <w:rFonts w:ascii="仿宋_GB2312" w:eastAsia="仿宋_GB2312" w:hAnsi="宋体" w:cs="宋体" w:hint="eastAsia"/>
                <w:kern w:val="0"/>
                <w:sz w:val="18"/>
                <w:szCs w:val="18"/>
              </w:rPr>
              <w:t>99.6%</w:t>
            </w: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28.80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28.27</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28.15</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99.60%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124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20.5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6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质量指标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预算编制准确率（计算方法为：</w:t>
            </w:r>
            <w:r>
              <w:rPr>
                <w:rFonts w:ascii="宋体" w:hAnsi="宋体" w:cs="宋体" w:hint="eastAsia"/>
                <w:kern w:val="0"/>
                <w:sz w:val="18"/>
                <w:szCs w:val="18"/>
              </w:rPr>
              <w:t>∣</w:t>
            </w:r>
            <w:r>
              <w:rPr>
                <w:rFonts w:ascii="仿宋_GB2312" w:eastAsia="仿宋_GB2312" w:hAnsi="仿宋_GB2312" w:cs="仿宋_GB2312" w:hint="eastAsia"/>
                <w:kern w:val="0"/>
                <w:sz w:val="18"/>
                <w:szCs w:val="18"/>
              </w:rPr>
              <w:t>（执行数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r>
              <w:rPr>
                <w:rFonts w:ascii="宋体" w:hAnsi="宋体" w:cs="宋体" w:hint="eastAsia"/>
                <w:kern w:val="0"/>
                <w:sz w:val="18"/>
                <w:szCs w:val="18"/>
              </w:rPr>
              <w:t>∣</w:t>
            </w:r>
            <w:r>
              <w:rPr>
                <w:rFonts w:ascii="仿宋_GB2312" w:eastAsia="仿宋_GB2312" w:hAnsi="仿宋_GB2312" w:cs="仿宋_GB2312" w:hint="eastAsia"/>
                <w:kern w:val="0"/>
                <w:sz w:val="18"/>
                <w:szCs w:val="18"/>
              </w:rPr>
              <w:t>）</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21</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采购预算不够精准</w:t>
            </w:r>
          </w:p>
        </w:tc>
      </w:tr>
      <w:tr w:rsidR="00C86173">
        <w:trPr>
          <w:trHeight w:val="339"/>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运转保障率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i/>
                <w:iCs/>
                <w:kern w:val="0"/>
                <w:sz w:val="18"/>
                <w:szCs w:val="18"/>
              </w:rPr>
            </w:pPr>
            <w:r>
              <w:rPr>
                <w:rFonts w:ascii="仿宋_GB2312" w:eastAsia="仿宋_GB2312" w:hAnsi="宋体" w:cs="宋体" w:hint="eastAsia"/>
                <w:i/>
                <w:iCs/>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i/>
                <w:iCs/>
                <w:kern w:val="0"/>
                <w:sz w:val="18"/>
                <w:szCs w:val="18"/>
              </w:rPr>
            </w:pPr>
          </w:p>
        </w:tc>
      </w:tr>
      <w:tr w:rsidR="00C86173">
        <w:trPr>
          <w:trHeight w:val="90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“三公经费”控</w:t>
            </w:r>
            <w:r>
              <w:rPr>
                <w:rFonts w:ascii="仿宋_GB2312" w:eastAsia="仿宋_GB2312" w:hAnsi="宋体" w:cs="宋体" w:hint="eastAsia"/>
                <w:kern w:val="0"/>
                <w:sz w:val="18"/>
                <w:szCs w:val="18"/>
              </w:rPr>
              <w:t>制率</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计算方法为：（三公经费实际支出数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预算安排数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74.17</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16.68</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厉行节约公务用车次数减少</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费用减少</w:t>
            </w: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90.48</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9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99.6%</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9.8</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80.68</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90.48</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分，达到预期目标。我所通过加强预算收支管理，不断建立健全内部管理制度，强化内部管理流程，执行相关政策，按财政要求提高预算编制质量，严格执行预算，保障了单位日常运转</w:t>
            </w:r>
          </w:p>
        </w:tc>
      </w:tr>
      <w:tr w:rsidR="00C86173">
        <w:trPr>
          <w:trHeight w:val="370"/>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公用经费指标细化不够精准，采购预算细化有待提高</w:t>
            </w:r>
          </w:p>
        </w:tc>
      </w:tr>
      <w:tr w:rsidR="00C86173">
        <w:trPr>
          <w:trHeight w:val="448"/>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认真学习相关政策，在厉行节约基础上提升预算编制细化能力，做到预算细化更精准</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93"/>
          <w:jc w:val="center"/>
        </w:trPr>
        <w:tc>
          <w:tcPr>
            <w:tcW w:w="1137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400" w:lineRule="exact"/>
              <w:jc w:val="center"/>
              <w:rPr>
                <w:rFonts w:ascii="黑体" w:eastAsia="黑体" w:hAnsi="黑体" w:cs="宋体"/>
                <w:b/>
                <w:bCs/>
                <w:kern w:val="0"/>
                <w:sz w:val="32"/>
                <w:szCs w:val="32"/>
              </w:rPr>
            </w:pPr>
            <w:r>
              <w:rPr>
                <w:rFonts w:ascii="黑体" w:eastAsia="黑体" w:hAnsi="黑体" w:cs="宋体" w:hint="eastAsia"/>
                <w:b/>
                <w:bCs/>
                <w:kern w:val="0"/>
                <w:sz w:val="32"/>
                <w:szCs w:val="32"/>
              </w:rPr>
              <w:t>部门预算项目支出绩效自评表（</w:t>
            </w:r>
            <w:r>
              <w:rPr>
                <w:rFonts w:ascii="黑体" w:eastAsia="黑体" w:hAnsi="黑体" w:cs="宋体" w:hint="eastAsia"/>
                <w:b/>
                <w:bCs/>
                <w:kern w:val="0"/>
                <w:sz w:val="32"/>
                <w:szCs w:val="32"/>
              </w:rPr>
              <w:t>2022</w:t>
            </w:r>
            <w:r>
              <w:rPr>
                <w:rFonts w:ascii="黑体" w:eastAsia="黑体" w:hAnsi="黑体" w:cs="宋体" w:hint="eastAsia"/>
                <w:b/>
                <w:bCs/>
                <w:kern w:val="0"/>
                <w:sz w:val="32"/>
                <w:szCs w:val="32"/>
              </w:rPr>
              <w:t>年度）</w:t>
            </w:r>
          </w:p>
        </w:tc>
      </w:tr>
      <w:tr w:rsidR="00C86173">
        <w:trPr>
          <w:trHeight w:val="285"/>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项目名称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51080023R000007612345-</w:t>
            </w:r>
            <w:r>
              <w:rPr>
                <w:rFonts w:ascii="仿宋_GB2312" w:eastAsia="仿宋_GB2312" w:hAnsi="宋体" w:cs="宋体" w:hint="eastAsia"/>
                <w:kern w:val="0"/>
                <w:sz w:val="18"/>
                <w:szCs w:val="18"/>
              </w:rPr>
              <w:t>规范后市级基础绩效奖及生活补助</w:t>
            </w:r>
          </w:p>
        </w:tc>
      </w:tr>
      <w:tr w:rsidR="00C86173">
        <w:trPr>
          <w:trHeight w:val="410"/>
          <w:jc w:val="center"/>
        </w:trPr>
        <w:tc>
          <w:tcPr>
            <w:tcW w:w="239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主管部门</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广元市教育局部门</w:t>
            </w:r>
          </w:p>
        </w:tc>
        <w:tc>
          <w:tcPr>
            <w:tcW w:w="1898" w:type="dxa"/>
            <w:gridSpan w:val="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实施单位</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（盖章）</w:t>
            </w:r>
          </w:p>
        </w:tc>
        <w:tc>
          <w:tcPr>
            <w:tcW w:w="2778" w:type="dxa"/>
            <w:gridSpan w:val="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广元市教育科学研究所</w:t>
            </w:r>
          </w:p>
        </w:tc>
      </w:tr>
      <w:tr w:rsidR="00C86173">
        <w:trPr>
          <w:trHeight w:val="285"/>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项目基本情况</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项目年度目标完成情况</w:t>
            </w: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项目年度目标</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年度目标完成情况</w:t>
            </w:r>
          </w:p>
        </w:tc>
      </w:tr>
      <w:tr w:rsidR="00C86173">
        <w:trPr>
          <w:trHeight w:val="70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4295" w:type="dxa"/>
            <w:gridSpan w:val="7"/>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严格执行相关政策，保障规范后市级基础绩效奖及生活补助及时发放、足额发放，预算编制科学合理，减少结余资金</w:t>
            </w:r>
          </w:p>
        </w:tc>
        <w:tc>
          <w:tcPr>
            <w:tcW w:w="4676"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严格执行相关政策，保障单位职工规范后市级基础绩效奖及生活补助及时发放、足额发放，年末无结余结转资金</w:t>
            </w:r>
          </w:p>
        </w:tc>
      </w:tr>
      <w:tr w:rsidR="00C86173">
        <w:trPr>
          <w:trHeight w:val="516"/>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项目实施内容及过程概述</w:t>
            </w:r>
          </w:p>
        </w:tc>
        <w:tc>
          <w:tcPr>
            <w:tcW w:w="8971" w:type="dxa"/>
            <w:gridSpan w:val="12"/>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严格执行相关政策，按财政要求，保障单位职工规范后市级基础绩效奖及生活补助每月及时申报发放、足额发放，年末无结余结转资金</w:t>
            </w:r>
          </w:p>
        </w:tc>
      </w:tr>
      <w:tr w:rsidR="00C86173">
        <w:trPr>
          <w:trHeight w:val="422"/>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预算执行情况（</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年度预算数（万元）</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年初预算</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调整后预算数</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预算执行数</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原因</w:t>
            </w:r>
          </w:p>
        </w:tc>
      </w:tr>
      <w:tr w:rsidR="00C86173">
        <w:trPr>
          <w:trHeight w:val="38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总额</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19.89</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19.89</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211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依据广财教（</w:t>
            </w:r>
            <w:r>
              <w:rPr>
                <w:rFonts w:ascii="仿宋_GB2312" w:eastAsia="仿宋_GB2312" w:hAnsi="宋体" w:cs="宋体" w:hint="eastAsia"/>
                <w:kern w:val="0"/>
                <w:sz w:val="18"/>
                <w:szCs w:val="18"/>
              </w:rPr>
              <w:t>2022</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167</w:t>
            </w:r>
            <w:r>
              <w:rPr>
                <w:rFonts w:ascii="仿宋_GB2312" w:eastAsia="仿宋_GB2312" w:hAnsi="宋体" w:cs="宋体" w:hint="eastAsia"/>
                <w:kern w:val="0"/>
                <w:sz w:val="18"/>
                <w:szCs w:val="18"/>
              </w:rPr>
              <w:t>文规定，追加单位规范后市级基础绩效奖及生活补助</w:t>
            </w:r>
          </w:p>
        </w:tc>
      </w:tr>
      <w:tr w:rsidR="00C86173">
        <w:trPr>
          <w:trHeight w:val="43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其中：财政资金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19.89</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19.89</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47"/>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财政专户管理资金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02"/>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其他资金</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2014" w:type="dxa"/>
            <w:gridSpan w:val="5"/>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211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绩效指标（</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w:t>
            </w: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一级指标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二级指标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三级指标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指标性质</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指标值</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度量单位</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权重</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得分</w:t>
            </w:r>
          </w:p>
        </w:tc>
        <w:tc>
          <w:tcPr>
            <w:tcW w:w="211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未完成原因分析</w:t>
            </w:r>
          </w:p>
        </w:tc>
      </w:tr>
      <w:tr w:rsidR="00C86173">
        <w:trPr>
          <w:trHeight w:val="380"/>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产出指标</w:t>
            </w:r>
          </w:p>
        </w:tc>
        <w:tc>
          <w:tcPr>
            <w:tcW w:w="962" w:type="dxa"/>
            <w:vMerge w:val="restart"/>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数量指标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足额保障率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14"/>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科目调整次数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次</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378"/>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时效指标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按时发放率</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453"/>
          <w:jc w:val="center"/>
        </w:trPr>
        <w:tc>
          <w:tcPr>
            <w:tcW w:w="708" w:type="dxa"/>
            <w:vMerge/>
            <w:tcBorders>
              <w:top w:val="nil"/>
              <w:left w:val="single" w:sz="4" w:space="0" w:color="000000"/>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效益指标</w:t>
            </w:r>
          </w:p>
        </w:tc>
        <w:tc>
          <w:tcPr>
            <w:tcW w:w="96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经济效益指标</w:t>
            </w:r>
          </w:p>
        </w:tc>
        <w:tc>
          <w:tcPr>
            <w:tcW w:w="1319"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结余率（计算方法为：结余</w:t>
            </w:r>
            <w:r>
              <w:rPr>
                <w:rFonts w:ascii="仿宋_GB2312" w:eastAsia="仿宋_GB2312" w:hAnsi="宋体" w:cs="宋体" w:hint="eastAsia"/>
                <w:kern w:val="0"/>
                <w:sz w:val="18"/>
                <w:szCs w:val="18"/>
              </w:rPr>
              <w:lastRenderedPageBreak/>
              <w:t>数</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预算数）</w:t>
            </w:r>
          </w:p>
        </w:tc>
        <w:tc>
          <w:tcPr>
            <w:tcW w:w="668"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w:t>
            </w:r>
          </w:p>
        </w:tc>
        <w:tc>
          <w:tcPr>
            <w:tcW w:w="590"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w:t>
            </w:r>
          </w:p>
        </w:tc>
        <w:tc>
          <w:tcPr>
            <w:tcW w:w="75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p>
        </w:tc>
        <w:tc>
          <w:tcPr>
            <w:tcW w:w="1322"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0</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22.5</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285"/>
          <w:jc w:val="center"/>
        </w:trPr>
        <w:tc>
          <w:tcPr>
            <w:tcW w:w="8016"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lastRenderedPageBreak/>
              <w:t>合计</w:t>
            </w:r>
          </w:p>
        </w:tc>
        <w:tc>
          <w:tcPr>
            <w:tcW w:w="576" w:type="dxa"/>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666" w:type="dxa"/>
            <w:gridSpan w:val="2"/>
            <w:tcBorders>
              <w:top w:val="nil"/>
              <w:left w:val="nil"/>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100</w:t>
            </w:r>
          </w:p>
        </w:tc>
        <w:tc>
          <w:tcPr>
            <w:tcW w:w="2112" w:type="dxa"/>
            <w:tcBorders>
              <w:top w:val="nil"/>
              <w:left w:val="nil"/>
              <w:bottom w:val="single" w:sz="4" w:space="0" w:color="000000"/>
              <w:right w:val="single" w:sz="4" w:space="0" w:color="000000"/>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69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评价结论</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通过自评该项目预算执行完成率为</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，预算执行情况得分</w:t>
            </w:r>
            <w:r>
              <w:rPr>
                <w:rFonts w:ascii="仿宋_GB2312" w:eastAsia="仿宋_GB2312" w:hAnsi="宋体" w:cs="宋体" w:hint="eastAsia"/>
                <w:kern w:val="0"/>
                <w:sz w:val="18"/>
                <w:szCs w:val="18"/>
              </w:rPr>
              <w:t>10</w:t>
            </w:r>
            <w:r>
              <w:rPr>
                <w:rFonts w:ascii="仿宋_GB2312" w:eastAsia="仿宋_GB2312" w:hAnsi="宋体" w:cs="宋体" w:hint="eastAsia"/>
                <w:kern w:val="0"/>
                <w:sz w:val="18"/>
                <w:szCs w:val="18"/>
              </w:rPr>
              <w:t>分，绩效指标得分</w:t>
            </w:r>
            <w:r>
              <w:rPr>
                <w:rFonts w:ascii="仿宋_GB2312" w:eastAsia="仿宋_GB2312" w:hAnsi="宋体" w:cs="宋体" w:hint="eastAsia"/>
                <w:kern w:val="0"/>
                <w:sz w:val="18"/>
                <w:szCs w:val="18"/>
              </w:rPr>
              <w:t>90</w:t>
            </w:r>
            <w:r>
              <w:rPr>
                <w:rFonts w:ascii="仿宋_GB2312" w:eastAsia="仿宋_GB2312" w:hAnsi="宋体" w:cs="宋体" w:hint="eastAsia"/>
                <w:kern w:val="0"/>
                <w:sz w:val="18"/>
                <w:szCs w:val="18"/>
              </w:rPr>
              <w:t>分，总计得分</w:t>
            </w:r>
            <w:r>
              <w:rPr>
                <w:rFonts w:ascii="仿宋_GB2312" w:eastAsia="仿宋_GB2312" w:hAnsi="宋体" w:cs="宋体" w:hint="eastAsia"/>
                <w:kern w:val="0"/>
                <w:sz w:val="18"/>
                <w:szCs w:val="18"/>
              </w:rPr>
              <w:t>100</w:t>
            </w:r>
            <w:r>
              <w:rPr>
                <w:rFonts w:ascii="仿宋_GB2312" w:eastAsia="仿宋_GB2312" w:hAnsi="宋体" w:cs="宋体" w:hint="eastAsia"/>
                <w:kern w:val="0"/>
                <w:sz w:val="18"/>
                <w:szCs w:val="18"/>
              </w:rPr>
              <w:t>分，达到预期目标。我所通过加强预算收支管理，不断建立健全内部管理制度，强化内部管理流程，执行相关政策，按财政要求，每月及时申报发放、足额发放单位职工规范后市级基础绩效奖及生活补助</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存在问题</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516"/>
          <w:jc w:val="center"/>
        </w:trPr>
        <w:tc>
          <w:tcPr>
            <w:tcW w:w="708" w:type="dxa"/>
            <w:tcBorders>
              <w:top w:val="nil"/>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改进措施</w:t>
            </w:r>
          </w:p>
        </w:tc>
        <w:tc>
          <w:tcPr>
            <w:tcW w:w="10662" w:type="dxa"/>
            <w:gridSpan w:val="13"/>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i/>
                <w:iCs/>
                <w:kern w:val="0"/>
                <w:sz w:val="18"/>
                <w:szCs w:val="18"/>
              </w:rPr>
            </w:pPr>
            <w:r>
              <w:rPr>
                <w:rFonts w:ascii="仿宋_GB2312" w:eastAsia="仿宋_GB2312" w:hAnsi="宋体" w:cs="宋体" w:hint="eastAsia"/>
                <w:iCs/>
                <w:kern w:val="0"/>
                <w:sz w:val="18"/>
                <w:szCs w:val="18"/>
              </w:rPr>
              <w:t>无</w:t>
            </w:r>
          </w:p>
        </w:tc>
      </w:tr>
      <w:tr w:rsidR="00C86173">
        <w:trPr>
          <w:trHeight w:val="285"/>
          <w:jc w:val="center"/>
        </w:trPr>
        <w:tc>
          <w:tcPr>
            <w:tcW w:w="53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项目负责人：李莉</w:t>
            </w:r>
          </w:p>
        </w:tc>
        <w:tc>
          <w:tcPr>
            <w:tcW w:w="6022" w:type="dxa"/>
            <w:gridSpan w:val="9"/>
            <w:tcBorders>
              <w:top w:val="single" w:sz="4" w:space="0" w:color="000000"/>
              <w:left w:val="nil"/>
              <w:bottom w:val="single" w:sz="4" w:space="0" w:color="000000"/>
              <w:right w:val="single" w:sz="4" w:space="0" w:color="000000"/>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财务负责人：张宏</w:t>
            </w:r>
          </w:p>
        </w:tc>
      </w:tr>
      <w:tr w:rsidR="00C86173">
        <w:trPr>
          <w:trHeight w:val="285"/>
          <w:jc w:val="center"/>
        </w:trPr>
        <w:tc>
          <w:tcPr>
            <w:tcW w:w="70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691"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96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19"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8"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90"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75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132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576"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666" w:type="dxa"/>
            <w:gridSpan w:val="2"/>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c>
          <w:tcPr>
            <w:tcW w:w="2112" w:type="dxa"/>
            <w:tcBorders>
              <w:top w:val="nil"/>
              <w:left w:val="nil"/>
              <w:bottom w:val="nil"/>
              <w:right w:val="nil"/>
            </w:tcBorders>
            <w:shd w:val="clear" w:color="auto" w:fill="auto"/>
            <w:vAlign w:val="center"/>
          </w:tcPr>
          <w:p w:rsidR="00C86173" w:rsidRDefault="00C86173">
            <w:pPr>
              <w:widowControl/>
              <w:spacing w:line="240" w:lineRule="exact"/>
              <w:jc w:val="center"/>
              <w:rPr>
                <w:rFonts w:ascii="仿宋_GB2312" w:eastAsia="仿宋_GB2312" w:hAnsi="宋体" w:cs="宋体"/>
                <w:kern w:val="0"/>
                <w:sz w:val="18"/>
                <w:szCs w:val="18"/>
              </w:rPr>
            </w:pPr>
          </w:p>
        </w:tc>
      </w:tr>
      <w:tr w:rsidR="00C86173">
        <w:trPr>
          <w:trHeight w:val="285"/>
          <w:jc w:val="center"/>
        </w:trPr>
        <w:tc>
          <w:tcPr>
            <w:tcW w:w="11370" w:type="dxa"/>
            <w:gridSpan w:val="14"/>
            <w:tcBorders>
              <w:top w:val="nil"/>
              <w:left w:val="nil"/>
              <w:bottom w:val="nil"/>
              <w:right w:val="nil"/>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、报表说明</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该报表查询项目信息、绩效目标信息、预算及执行情况，用于预算单位查询导出开展项目自评。</w:t>
            </w:r>
          </w:p>
        </w:tc>
      </w:tr>
      <w:tr w:rsidR="00C86173">
        <w:trPr>
          <w:trHeight w:val="285"/>
          <w:jc w:val="center"/>
        </w:trPr>
        <w:tc>
          <w:tcPr>
            <w:tcW w:w="11370" w:type="dxa"/>
            <w:gridSpan w:val="14"/>
            <w:tcBorders>
              <w:top w:val="nil"/>
              <w:left w:val="nil"/>
              <w:bottom w:val="nil"/>
              <w:right w:val="nil"/>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、取数口径：部门项目绩效目标表信息，包括年初预算、追加预算、结转预算和调整预算的绩效目标（以项目的最终绩效目标为准）。</w:t>
            </w:r>
          </w:p>
        </w:tc>
      </w:tr>
      <w:tr w:rsidR="00C86173">
        <w:trPr>
          <w:trHeight w:val="285"/>
          <w:jc w:val="center"/>
        </w:trPr>
        <w:tc>
          <w:tcPr>
            <w:tcW w:w="11370" w:type="dxa"/>
            <w:gridSpan w:val="14"/>
            <w:tcBorders>
              <w:top w:val="nil"/>
              <w:left w:val="nil"/>
              <w:bottom w:val="nil"/>
              <w:right w:val="nil"/>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适用地区：全省范围</w:t>
            </w:r>
          </w:p>
        </w:tc>
      </w:tr>
      <w:tr w:rsidR="00C86173">
        <w:trPr>
          <w:trHeight w:val="285"/>
          <w:jc w:val="center"/>
        </w:trPr>
        <w:tc>
          <w:tcPr>
            <w:tcW w:w="11370" w:type="dxa"/>
            <w:gridSpan w:val="14"/>
            <w:tcBorders>
              <w:top w:val="nil"/>
              <w:left w:val="nil"/>
              <w:bottom w:val="nil"/>
              <w:right w:val="nil"/>
            </w:tcBorders>
            <w:shd w:val="clear" w:color="auto" w:fill="auto"/>
            <w:vAlign w:val="center"/>
          </w:tcPr>
          <w:p w:rsidR="00C86173" w:rsidRDefault="00CC65C4">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适用用户：部门用户、单位用户</w:t>
            </w:r>
          </w:p>
        </w:tc>
      </w:tr>
    </w:tbl>
    <w:p w:rsidR="00C86173" w:rsidRDefault="00C86173">
      <w:pPr>
        <w:pStyle w:val="a3"/>
        <w:spacing w:before="93"/>
        <w:ind w:rightChars="31" w:right="65"/>
        <w:rPr>
          <w:rFonts w:hAnsi="Calibri" w:cs="仿宋"/>
          <w:sz w:val="32"/>
          <w:szCs w:val="32"/>
        </w:rPr>
        <w:sectPr w:rsidR="00C86173">
          <w:type w:val="continuous"/>
          <w:pgSz w:w="16838" w:h="11906" w:orient="landscape"/>
          <w:pgMar w:top="1800" w:right="1440" w:bottom="1985" w:left="1440" w:header="851" w:footer="992" w:gutter="0"/>
          <w:pgNumType w:chapStyle="1"/>
          <w:cols w:space="425"/>
          <w:titlePg/>
          <w:docGrid w:type="lines" w:linePitch="312"/>
        </w:sectPr>
      </w:pPr>
    </w:p>
    <w:p w:rsidR="00C86173" w:rsidRDefault="00CC65C4">
      <w:pPr>
        <w:spacing w:line="600" w:lineRule="exact"/>
        <w:jc w:val="center"/>
        <w:outlineLvl w:val="0"/>
        <w:rPr>
          <w:rFonts w:ascii="仿宋" w:eastAsia="仿宋" w:hAnsi="仿宋"/>
        </w:rPr>
      </w:pPr>
      <w:bookmarkStart w:id="87" w:name="_Toc145324388"/>
      <w:r>
        <w:rPr>
          <w:rFonts w:ascii="黑体" w:eastAsia="黑体" w:hAnsi="黑体" w:hint="eastAsia"/>
          <w:sz w:val="44"/>
          <w:szCs w:val="44"/>
        </w:rPr>
        <w:lastRenderedPageBreak/>
        <w:t>第</w:t>
      </w:r>
      <w:r>
        <w:rPr>
          <w:rStyle w:val="1Char"/>
          <w:rFonts w:ascii="黑体" w:eastAsia="黑体" w:hAnsi="黑体" w:hint="eastAsia"/>
          <w:b w:val="0"/>
        </w:rPr>
        <w:t>五部分</w:t>
      </w:r>
      <w:r>
        <w:rPr>
          <w:rStyle w:val="1Char"/>
          <w:rFonts w:ascii="黑体" w:eastAsia="黑体" w:hAnsi="黑体" w:hint="eastAsia"/>
          <w:b w:val="0"/>
        </w:rPr>
        <w:t xml:space="preserve"> </w:t>
      </w:r>
      <w:r>
        <w:rPr>
          <w:rStyle w:val="1Char"/>
          <w:rFonts w:ascii="黑体" w:eastAsia="黑体" w:hAnsi="黑体" w:hint="eastAsia"/>
          <w:b w:val="0"/>
        </w:rPr>
        <w:t>附表</w:t>
      </w:r>
      <w:bookmarkStart w:id="88" w:name="_Toc15396619"/>
      <w:bookmarkEnd w:id="84"/>
      <w:bookmarkEnd w:id="86"/>
      <w:bookmarkEnd w:id="87"/>
    </w:p>
    <w:p w:rsidR="00C86173" w:rsidRDefault="00CC65C4">
      <w:pPr>
        <w:pStyle w:val="2"/>
        <w:rPr>
          <w:rFonts w:ascii="仿宋" w:eastAsia="仿宋" w:hAnsi="仿宋"/>
        </w:rPr>
      </w:pPr>
      <w:bookmarkStart w:id="89" w:name="_Toc145324389"/>
      <w:r>
        <w:rPr>
          <w:rFonts w:ascii="仿宋" w:eastAsia="仿宋" w:hAnsi="仿宋" w:hint="eastAsia"/>
          <w:b w:val="0"/>
        </w:rPr>
        <w:t>一、收</w:t>
      </w:r>
      <w:r>
        <w:rPr>
          <w:rStyle w:val="2Char"/>
          <w:rFonts w:ascii="仿宋" w:eastAsia="仿宋" w:hAnsi="仿宋" w:hint="eastAsia"/>
        </w:rPr>
        <w:t>入支出决算总表</w:t>
      </w:r>
      <w:bookmarkEnd w:id="88"/>
      <w:bookmarkEnd w:id="89"/>
    </w:p>
    <w:p w:rsidR="00C86173" w:rsidRDefault="00CC65C4">
      <w:pPr>
        <w:pStyle w:val="2"/>
        <w:rPr>
          <w:rFonts w:ascii="仿宋" w:eastAsia="仿宋" w:hAnsi="仿宋"/>
        </w:rPr>
      </w:pPr>
      <w:bookmarkStart w:id="90" w:name="_Toc15396620"/>
      <w:bookmarkStart w:id="91" w:name="_Toc145324390"/>
      <w:r>
        <w:rPr>
          <w:rFonts w:ascii="仿宋" w:eastAsia="仿宋" w:hAnsi="仿宋" w:hint="eastAsia"/>
          <w:b w:val="0"/>
        </w:rPr>
        <w:t>二、收</w:t>
      </w:r>
      <w:r>
        <w:rPr>
          <w:rStyle w:val="2Char"/>
          <w:rFonts w:ascii="仿宋" w:eastAsia="仿宋" w:hAnsi="仿宋" w:hint="eastAsia"/>
        </w:rPr>
        <w:t>入决算表</w:t>
      </w:r>
      <w:bookmarkEnd w:id="90"/>
      <w:bookmarkEnd w:id="91"/>
    </w:p>
    <w:p w:rsidR="00C86173" w:rsidRDefault="00CC65C4">
      <w:pPr>
        <w:pStyle w:val="2"/>
        <w:rPr>
          <w:rFonts w:ascii="仿宋" w:eastAsia="仿宋" w:hAnsi="仿宋"/>
        </w:rPr>
      </w:pPr>
      <w:bookmarkStart w:id="92" w:name="_Toc145324391"/>
      <w:bookmarkStart w:id="93"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92"/>
      <w:bookmarkEnd w:id="93"/>
    </w:p>
    <w:p w:rsidR="00C86173" w:rsidRDefault="00CC65C4">
      <w:pPr>
        <w:pStyle w:val="2"/>
        <w:rPr>
          <w:rFonts w:ascii="仿宋" w:eastAsia="仿宋" w:hAnsi="仿宋"/>
          <w:b w:val="0"/>
        </w:rPr>
      </w:pPr>
      <w:bookmarkStart w:id="94" w:name="_Toc15396622"/>
      <w:bookmarkStart w:id="95" w:name="_Toc14532439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94"/>
      <w:bookmarkEnd w:id="95"/>
    </w:p>
    <w:p w:rsidR="00C86173" w:rsidRDefault="00CC65C4">
      <w:pPr>
        <w:pStyle w:val="2"/>
        <w:rPr>
          <w:rStyle w:val="2Char"/>
          <w:rFonts w:ascii="仿宋" w:eastAsia="仿宋" w:hAnsi="仿宋"/>
        </w:rPr>
      </w:pPr>
      <w:bookmarkStart w:id="96" w:name="_Toc145324393"/>
      <w:bookmarkStart w:id="97"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98" w:name="_Toc15396624"/>
      <w:bookmarkEnd w:id="96"/>
      <w:bookmarkEnd w:id="97"/>
    </w:p>
    <w:p w:rsidR="00C86173" w:rsidRDefault="00CC65C4">
      <w:pPr>
        <w:pStyle w:val="2"/>
        <w:rPr>
          <w:rFonts w:ascii="仿宋" w:eastAsia="仿宋" w:hAnsi="仿宋"/>
        </w:rPr>
      </w:pPr>
      <w:bookmarkStart w:id="99" w:name="_Toc145324394"/>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98"/>
      <w:bookmarkEnd w:id="99"/>
    </w:p>
    <w:p w:rsidR="00C86173" w:rsidRDefault="00CC65C4">
      <w:pPr>
        <w:pStyle w:val="2"/>
        <w:rPr>
          <w:rFonts w:ascii="仿宋" w:eastAsia="仿宋" w:hAnsi="仿宋"/>
        </w:rPr>
      </w:pPr>
      <w:bookmarkStart w:id="100" w:name="_Toc15396625"/>
      <w:bookmarkStart w:id="101" w:name="_Toc14532439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100"/>
      <w:bookmarkEnd w:id="101"/>
    </w:p>
    <w:p w:rsidR="00C86173" w:rsidRDefault="00CC65C4">
      <w:pPr>
        <w:pStyle w:val="2"/>
        <w:rPr>
          <w:rFonts w:ascii="仿宋" w:eastAsia="仿宋" w:hAnsi="仿宋"/>
        </w:rPr>
      </w:pPr>
      <w:bookmarkStart w:id="102" w:name="_Toc15396626"/>
      <w:bookmarkStart w:id="103" w:name="_Toc14532439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102"/>
      <w:bookmarkEnd w:id="103"/>
    </w:p>
    <w:p w:rsidR="00C86173" w:rsidRDefault="00CC65C4">
      <w:pPr>
        <w:pStyle w:val="2"/>
        <w:rPr>
          <w:rFonts w:ascii="仿宋" w:eastAsia="仿宋" w:hAnsi="仿宋"/>
        </w:rPr>
      </w:pPr>
      <w:bookmarkStart w:id="104" w:name="_Toc15396627"/>
      <w:bookmarkStart w:id="105" w:name="_Toc14532439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104"/>
      <w:bookmarkEnd w:id="105"/>
    </w:p>
    <w:p w:rsidR="00C86173" w:rsidRDefault="00CC65C4">
      <w:pPr>
        <w:pStyle w:val="2"/>
        <w:rPr>
          <w:rFonts w:ascii="仿宋" w:eastAsia="仿宋" w:hAnsi="仿宋"/>
        </w:rPr>
      </w:pPr>
      <w:bookmarkStart w:id="106" w:name="_Toc15396628"/>
      <w:bookmarkStart w:id="107" w:name="_Toc145324398"/>
      <w:r>
        <w:rPr>
          <w:rStyle w:val="2Char"/>
          <w:rFonts w:ascii="仿宋" w:eastAsia="仿宋" w:hAnsi="仿宋" w:hint="eastAsia"/>
        </w:rPr>
        <w:t>十、</w:t>
      </w:r>
      <w:bookmarkEnd w:id="106"/>
      <w:r>
        <w:rPr>
          <w:rFonts w:ascii="仿宋" w:eastAsia="仿宋" w:hAnsi="仿宋" w:hint="eastAsia"/>
          <w:b w:val="0"/>
        </w:rPr>
        <w:t>政</w:t>
      </w:r>
      <w:r>
        <w:rPr>
          <w:rStyle w:val="2Char"/>
          <w:rFonts w:ascii="仿宋" w:eastAsia="仿宋" w:hAnsi="仿宋" w:hint="eastAsia"/>
        </w:rPr>
        <w:t>府性基金预算财政拨款收入支出决算表</w:t>
      </w:r>
      <w:bookmarkEnd w:id="107"/>
    </w:p>
    <w:p w:rsidR="00C86173" w:rsidRDefault="00CC65C4">
      <w:pPr>
        <w:pStyle w:val="2"/>
        <w:rPr>
          <w:rFonts w:ascii="仿宋" w:eastAsia="仿宋" w:hAnsi="仿宋"/>
        </w:rPr>
      </w:pPr>
      <w:bookmarkStart w:id="108" w:name="_Toc15396629"/>
      <w:bookmarkStart w:id="109" w:name="_Toc145324399"/>
      <w:r>
        <w:rPr>
          <w:rStyle w:val="2Char"/>
          <w:rFonts w:ascii="仿宋" w:eastAsia="仿宋" w:hAnsi="仿宋" w:hint="eastAsia"/>
        </w:rPr>
        <w:t>十一、</w:t>
      </w:r>
      <w:bookmarkEnd w:id="108"/>
      <w:r>
        <w:rPr>
          <w:rFonts w:ascii="仿宋" w:eastAsia="仿宋" w:hAnsi="仿宋" w:hint="eastAsia"/>
          <w:b w:val="0"/>
        </w:rPr>
        <w:t>国</w:t>
      </w:r>
      <w:r>
        <w:rPr>
          <w:rStyle w:val="2Char"/>
          <w:rFonts w:ascii="仿宋" w:eastAsia="仿宋" w:hAnsi="仿宋" w:hint="eastAsia"/>
        </w:rPr>
        <w:t>有资本经营预算财政拨款收入支出决算表</w:t>
      </w:r>
      <w:bookmarkEnd w:id="109"/>
    </w:p>
    <w:p w:rsidR="00C86173" w:rsidRDefault="00CC65C4">
      <w:pPr>
        <w:pStyle w:val="2"/>
        <w:rPr>
          <w:rFonts w:ascii="仿宋" w:eastAsia="仿宋" w:hAnsi="仿宋"/>
        </w:rPr>
      </w:pPr>
      <w:bookmarkStart w:id="110" w:name="_Toc15396630"/>
      <w:bookmarkStart w:id="111" w:name="_Toc145324400"/>
      <w:r>
        <w:rPr>
          <w:rStyle w:val="2Char"/>
          <w:rFonts w:ascii="仿宋" w:eastAsia="仿宋" w:hAnsi="仿宋" w:hint="eastAsia"/>
        </w:rPr>
        <w:t>十二、</w:t>
      </w:r>
      <w:bookmarkEnd w:id="110"/>
      <w:r>
        <w:rPr>
          <w:rStyle w:val="2Char"/>
          <w:rFonts w:ascii="仿宋" w:eastAsia="仿宋" w:hAnsi="仿宋" w:hint="eastAsia"/>
        </w:rPr>
        <w:t>国有资本经营预算财政拨款支出决算表</w:t>
      </w:r>
      <w:bookmarkEnd w:id="111"/>
    </w:p>
    <w:p w:rsidR="00C86173" w:rsidRDefault="00CC65C4">
      <w:pPr>
        <w:pStyle w:val="2"/>
        <w:rPr>
          <w:rStyle w:val="2Char"/>
          <w:rFonts w:ascii="仿宋" w:eastAsia="仿宋" w:hAnsi="仿宋"/>
        </w:rPr>
      </w:pPr>
      <w:bookmarkStart w:id="112" w:name="_Toc15396631"/>
      <w:bookmarkStart w:id="113" w:name="_Toc145324401"/>
      <w:r>
        <w:rPr>
          <w:rStyle w:val="2Char"/>
          <w:rFonts w:ascii="仿宋" w:eastAsia="仿宋" w:hAnsi="仿宋" w:hint="eastAsia"/>
        </w:rPr>
        <w:t>十三、</w:t>
      </w:r>
      <w:bookmarkEnd w:id="112"/>
      <w:r>
        <w:rPr>
          <w:rStyle w:val="2Char"/>
          <w:rFonts w:ascii="仿宋" w:eastAsia="仿宋" w:hAnsi="仿宋" w:hint="eastAsia"/>
        </w:rPr>
        <w:t>财政拨款“三公”经费支出决算表</w:t>
      </w:r>
      <w:bookmarkEnd w:id="113"/>
    </w:p>
    <w:p w:rsidR="00C86173" w:rsidRDefault="00C86173"/>
    <w:sectPr w:rsidR="00C86173" w:rsidSect="00C86173">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5C4" w:rsidRDefault="00CC65C4" w:rsidP="00C86173">
      <w:r>
        <w:separator/>
      </w:r>
    </w:p>
  </w:endnote>
  <w:endnote w:type="continuationSeparator" w:id="0">
    <w:p w:rsidR="00CC65C4" w:rsidRDefault="00CC65C4" w:rsidP="00C86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charset w:val="86"/>
    <w:family w:val="auto"/>
    <w:pitch w:val="default"/>
    <w:sig w:usb0="00000001" w:usb1="08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173" w:rsidRDefault="00C86173">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filled="f" stroked="f">
          <v:textbox style="mso-fit-shape-to-text:t" inset="0,0,0,0">
            <w:txbxContent>
              <w:p w:rsidR="00C86173" w:rsidRDefault="00C86173">
                <w:pPr>
                  <w:pStyle w:val="a5"/>
                </w:pPr>
                <w:r>
                  <w:fldChar w:fldCharType="begin"/>
                </w:r>
                <w:r w:rsidR="00CC65C4">
                  <w:instrText xml:space="preserve"> PAGE  \* MERGEFORMAT </w:instrText>
                </w:r>
                <w:r>
                  <w:fldChar w:fldCharType="separate"/>
                </w:r>
                <w:r w:rsidR="00840AED">
                  <w:rPr>
                    <w:noProof/>
                  </w:rPr>
                  <w:t>2</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173" w:rsidRDefault="00C86173">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60288;mso-wrap-style:none;mso-position-horizontal:center;mso-position-horizontal-relative:margin" filled="f" stroked="f">
          <v:textbox style="mso-fit-shape-to-text:t" inset="0,0,0,0">
            <w:txbxContent>
              <w:p w:rsidR="00C86173" w:rsidRDefault="00C86173">
                <w:pPr>
                  <w:pStyle w:val="a5"/>
                </w:pPr>
                <w:r>
                  <w:fldChar w:fldCharType="begin"/>
                </w:r>
                <w:r w:rsidR="00CC65C4">
                  <w:instrText xml:space="preserve"> PAGE  \* MERGEFORMAT </w:instrText>
                </w:r>
                <w:r>
                  <w:fldChar w:fldCharType="separate"/>
                </w:r>
                <w:r w:rsidR="00840AED">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5C4" w:rsidRDefault="00CC65C4" w:rsidP="00C86173">
      <w:r>
        <w:separator/>
      </w:r>
    </w:p>
  </w:footnote>
  <w:footnote w:type="continuationSeparator" w:id="0">
    <w:p w:rsidR="00CC65C4" w:rsidRDefault="00CC65C4" w:rsidP="00C86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173" w:rsidRDefault="00C8617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3818A09A"/>
    <w:multiLevelType w:val="singleLevel"/>
    <w:tmpl w:val="3818A09A"/>
    <w:lvl w:ilvl="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00F1361C"/>
    <w:rsid w:val="9E3A10E2"/>
    <w:rsid w:val="F2E1F9D4"/>
    <w:rsid w:val="F7880819"/>
    <w:rsid w:val="000222C6"/>
    <w:rsid w:val="0002549F"/>
    <w:rsid w:val="00032ADF"/>
    <w:rsid w:val="00035A53"/>
    <w:rsid w:val="00040426"/>
    <w:rsid w:val="0004312D"/>
    <w:rsid w:val="000460EB"/>
    <w:rsid w:val="000468DB"/>
    <w:rsid w:val="00054771"/>
    <w:rsid w:val="0006487A"/>
    <w:rsid w:val="00065CCE"/>
    <w:rsid w:val="00065F8F"/>
    <w:rsid w:val="00070A43"/>
    <w:rsid w:val="00070C45"/>
    <w:rsid w:val="000768F2"/>
    <w:rsid w:val="00086611"/>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0E7BBF"/>
    <w:rsid w:val="000F61C7"/>
    <w:rsid w:val="00114E9B"/>
    <w:rsid w:val="00137A45"/>
    <w:rsid w:val="00142216"/>
    <w:rsid w:val="00142CF6"/>
    <w:rsid w:val="00144D6A"/>
    <w:rsid w:val="0014729F"/>
    <w:rsid w:val="00157BAB"/>
    <w:rsid w:val="001654D1"/>
    <w:rsid w:val="00174518"/>
    <w:rsid w:val="00176F38"/>
    <w:rsid w:val="00180FE8"/>
    <w:rsid w:val="0018106D"/>
    <w:rsid w:val="001877A7"/>
    <w:rsid w:val="00191536"/>
    <w:rsid w:val="001939F2"/>
    <w:rsid w:val="00196687"/>
    <w:rsid w:val="001B1956"/>
    <w:rsid w:val="001B76BD"/>
    <w:rsid w:val="001C0962"/>
    <w:rsid w:val="001D7531"/>
    <w:rsid w:val="001E347B"/>
    <w:rsid w:val="001E3D8C"/>
    <w:rsid w:val="001E737D"/>
    <w:rsid w:val="001F0592"/>
    <w:rsid w:val="001F7506"/>
    <w:rsid w:val="002006CD"/>
    <w:rsid w:val="00202B36"/>
    <w:rsid w:val="00204B7A"/>
    <w:rsid w:val="00204CDE"/>
    <w:rsid w:val="0021101A"/>
    <w:rsid w:val="00214A5C"/>
    <w:rsid w:val="00220536"/>
    <w:rsid w:val="00235629"/>
    <w:rsid w:val="002378C3"/>
    <w:rsid w:val="00240CA0"/>
    <w:rsid w:val="00260C38"/>
    <w:rsid w:val="002616C0"/>
    <w:rsid w:val="00265372"/>
    <w:rsid w:val="002662AA"/>
    <w:rsid w:val="00280496"/>
    <w:rsid w:val="00283349"/>
    <w:rsid w:val="00294DC9"/>
    <w:rsid w:val="00295495"/>
    <w:rsid w:val="002A1ACC"/>
    <w:rsid w:val="002A31DE"/>
    <w:rsid w:val="002B2613"/>
    <w:rsid w:val="002C3FF0"/>
    <w:rsid w:val="002D0AE6"/>
    <w:rsid w:val="002D6B59"/>
    <w:rsid w:val="002D6D05"/>
    <w:rsid w:val="002F0AC7"/>
    <w:rsid w:val="002F1818"/>
    <w:rsid w:val="002F567B"/>
    <w:rsid w:val="00305651"/>
    <w:rsid w:val="003216A9"/>
    <w:rsid w:val="00321897"/>
    <w:rsid w:val="003243CF"/>
    <w:rsid w:val="003325DD"/>
    <w:rsid w:val="00335A74"/>
    <w:rsid w:val="00363D7C"/>
    <w:rsid w:val="0036561B"/>
    <w:rsid w:val="0037013F"/>
    <w:rsid w:val="00372886"/>
    <w:rsid w:val="00375F35"/>
    <w:rsid w:val="00380C92"/>
    <w:rsid w:val="003905A0"/>
    <w:rsid w:val="00392756"/>
    <w:rsid w:val="003A484F"/>
    <w:rsid w:val="003A4883"/>
    <w:rsid w:val="003B0BE0"/>
    <w:rsid w:val="003B0C1B"/>
    <w:rsid w:val="003B688C"/>
    <w:rsid w:val="003B76E2"/>
    <w:rsid w:val="003C0291"/>
    <w:rsid w:val="003C39AE"/>
    <w:rsid w:val="003C7B60"/>
    <w:rsid w:val="003C7FF5"/>
    <w:rsid w:val="003D0C0F"/>
    <w:rsid w:val="003D1FB2"/>
    <w:rsid w:val="003D66DA"/>
    <w:rsid w:val="003E1310"/>
    <w:rsid w:val="003E6F55"/>
    <w:rsid w:val="00406254"/>
    <w:rsid w:val="00407273"/>
    <w:rsid w:val="00416E91"/>
    <w:rsid w:val="004223DE"/>
    <w:rsid w:val="00434489"/>
    <w:rsid w:val="00437085"/>
    <w:rsid w:val="004415C9"/>
    <w:rsid w:val="00443880"/>
    <w:rsid w:val="004464F4"/>
    <w:rsid w:val="00471401"/>
    <w:rsid w:val="00473F31"/>
    <w:rsid w:val="00481008"/>
    <w:rsid w:val="0048263A"/>
    <w:rsid w:val="00487E5D"/>
    <w:rsid w:val="004919C0"/>
    <w:rsid w:val="004A711F"/>
    <w:rsid w:val="004B199D"/>
    <w:rsid w:val="004B4690"/>
    <w:rsid w:val="004B7EC8"/>
    <w:rsid w:val="004C3C5E"/>
    <w:rsid w:val="004C78A9"/>
    <w:rsid w:val="004D3E0F"/>
    <w:rsid w:val="004E0A2D"/>
    <w:rsid w:val="004E206B"/>
    <w:rsid w:val="004E6DF7"/>
    <w:rsid w:val="004F0FBD"/>
    <w:rsid w:val="005005FD"/>
    <w:rsid w:val="00505A47"/>
    <w:rsid w:val="00512FDA"/>
    <w:rsid w:val="00520DA0"/>
    <w:rsid w:val="00535259"/>
    <w:rsid w:val="005664BB"/>
    <w:rsid w:val="00566FFA"/>
    <w:rsid w:val="00571358"/>
    <w:rsid w:val="0057481D"/>
    <w:rsid w:val="0058486E"/>
    <w:rsid w:val="00585B33"/>
    <w:rsid w:val="0059014D"/>
    <w:rsid w:val="005A11BC"/>
    <w:rsid w:val="005A39B9"/>
    <w:rsid w:val="005B5C64"/>
    <w:rsid w:val="005C5337"/>
    <w:rsid w:val="005C6BD0"/>
    <w:rsid w:val="005D1C8B"/>
    <w:rsid w:val="005D4247"/>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67977"/>
    <w:rsid w:val="006748A4"/>
    <w:rsid w:val="00681A31"/>
    <w:rsid w:val="00683E73"/>
    <w:rsid w:val="006A3141"/>
    <w:rsid w:val="006A5E34"/>
    <w:rsid w:val="006B2422"/>
    <w:rsid w:val="006B2B9A"/>
    <w:rsid w:val="006C1937"/>
    <w:rsid w:val="006F020C"/>
    <w:rsid w:val="007111E6"/>
    <w:rsid w:val="007127B7"/>
    <w:rsid w:val="0071798E"/>
    <w:rsid w:val="007303D3"/>
    <w:rsid w:val="007416B6"/>
    <w:rsid w:val="00746F48"/>
    <w:rsid w:val="0075404D"/>
    <w:rsid w:val="00760A51"/>
    <w:rsid w:val="00760B84"/>
    <w:rsid w:val="0076182A"/>
    <w:rsid w:val="0076744A"/>
    <w:rsid w:val="00767B7E"/>
    <w:rsid w:val="00773076"/>
    <w:rsid w:val="007770C3"/>
    <w:rsid w:val="00784D24"/>
    <w:rsid w:val="00785FBA"/>
    <w:rsid w:val="00786E4A"/>
    <w:rsid w:val="007875EB"/>
    <w:rsid w:val="0079426B"/>
    <w:rsid w:val="00794526"/>
    <w:rsid w:val="007B0D3B"/>
    <w:rsid w:val="007B203A"/>
    <w:rsid w:val="007D1682"/>
    <w:rsid w:val="007D312A"/>
    <w:rsid w:val="007D3F19"/>
    <w:rsid w:val="007E23B0"/>
    <w:rsid w:val="007E23E5"/>
    <w:rsid w:val="007F1991"/>
    <w:rsid w:val="007F2C2F"/>
    <w:rsid w:val="007F55FC"/>
    <w:rsid w:val="007F5665"/>
    <w:rsid w:val="00800112"/>
    <w:rsid w:val="00813348"/>
    <w:rsid w:val="008253BB"/>
    <w:rsid w:val="00830E0D"/>
    <w:rsid w:val="00835BB2"/>
    <w:rsid w:val="0083706E"/>
    <w:rsid w:val="008408F6"/>
    <w:rsid w:val="00840AED"/>
    <w:rsid w:val="008423A5"/>
    <w:rsid w:val="00850625"/>
    <w:rsid w:val="00851F0A"/>
    <w:rsid w:val="00853718"/>
    <w:rsid w:val="00855221"/>
    <w:rsid w:val="00860645"/>
    <w:rsid w:val="008657FC"/>
    <w:rsid w:val="008667DF"/>
    <w:rsid w:val="00871F71"/>
    <w:rsid w:val="00872FD8"/>
    <w:rsid w:val="00874459"/>
    <w:rsid w:val="00885AF4"/>
    <w:rsid w:val="008939CD"/>
    <w:rsid w:val="008A05E7"/>
    <w:rsid w:val="008A7143"/>
    <w:rsid w:val="008B768C"/>
    <w:rsid w:val="008C4DB1"/>
    <w:rsid w:val="008C4EAF"/>
    <w:rsid w:val="008C5176"/>
    <w:rsid w:val="008C7FD0"/>
    <w:rsid w:val="008D7FF2"/>
    <w:rsid w:val="008E1DE7"/>
    <w:rsid w:val="008E707C"/>
    <w:rsid w:val="00900B08"/>
    <w:rsid w:val="0090104A"/>
    <w:rsid w:val="00902155"/>
    <w:rsid w:val="00902FA3"/>
    <w:rsid w:val="00907E94"/>
    <w:rsid w:val="00917CBC"/>
    <w:rsid w:val="009206C4"/>
    <w:rsid w:val="00923564"/>
    <w:rsid w:val="0092392E"/>
    <w:rsid w:val="009315F9"/>
    <w:rsid w:val="00933499"/>
    <w:rsid w:val="00935C98"/>
    <w:rsid w:val="00946945"/>
    <w:rsid w:val="00951248"/>
    <w:rsid w:val="0095152F"/>
    <w:rsid w:val="00954C49"/>
    <w:rsid w:val="00955E37"/>
    <w:rsid w:val="009627F8"/>
    <w:rsid w:val="009648C2"/>
    <w:rsid w:val="0096490B"/>
    <w:rsid w:val="0097099F"/>
    <w:rsid w:val="00971997"/>
    <w:rsid w:val="00971FFC"/>
    <w:rsid w:val="00977F62"/>
    <w:rsid w:val="009819FB"/>
    <w:rsid w:val="0098660A"/>
    <w:rsid w:val="009917EB"/>
    <w:rsid w:val="009923FC"/>
    <w:rsid w:val="009931C3"/>
    <w:rsid w:val="009B2C43"/>
    <w:rsid w:val="009B4EAE"/>
    <w:rsid w:val="009B7573"/>
    <w:rsid w:val="009C22F4"/>
    <w:rsid w:val="009C2A4B"/>
    <w:rsid w:val="009C2E98"/>
    <w:rsid w:val="009D3447"/>
    <w:rsid w:val="009D4581"/>
    <w:rsid w:val="009D4711"/>
    <w:rsid w:val="009F1185"/>
    <w:rsid w:val="009F18CD"/>
    <w:rsid w:val="009F2A13"/>
    <w:rsid w:val="009F4983"/>
    <w:rsid w:val="009F7527"/>
    <w:rsid w:val="00A012D5"/>
    <w:rsid w:val="00A04EB0"/>
    <w:rsid w:val="00A13CC1"/>
    <w:rsid w:val="00A16847"/>
    <w:rsid w:val="00A237D8"/>
    <w:rsid w:val="00A25750"/>
    <w:rsid w:val="00A268C4"/>
    <w:rsid w:val="00A307CD"/>
    <w:rsid w:val="00A331C8"/>
    <w:rsid w:val="00A40A00"/>
    <w:rsid w:val="00A4142F"/>
    <w:rsid w:val="00A41BB0"/>
    <w:rsid w:val="00A422EB"/>
    <w:rsid w:val="00A45BB7"/>
    <w:rsid w:val="00A56DF2"/>
    <w:rsid w:val="00A56E6E"/>
    <w:rsid w:val="00A67AB5"/>
    <w:rsid w:val="00A733B2"/>
    <w:rsid w:val="00A741C2"/>
    <w:rsid w:val="00A91760"/>
    <w:rsid w:val="00A93B00"/>
    <w:rsid w:val="00A93C21"/>
    <w:rsid w:val="00AB64C9"/>
    <w:rsid w:val="00AC3C6A"/>
    <w:rsid w:val="00AD1D0A"/>
    <w:rsid w:val="00AD47EC"/>
    <w:rsid w:val="00AD5117"/>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02B8"/>
    <w:rsid w:val="00B77EA6"/>
    <w:rsid w:val="00B81598"/>
    <w:rsid w:val="00B841F1"/>
    <w:rsid w:val="00B944D6"/>
    <w:rsid w:val="00BB0E2C"/>
    <w:rsid w:val="00BB3BF5"/>
    <w:rsid w:val="00BB4DF0"/>
    <w:rsid w:val="00BB5540"/>
    <w:rsid w:val="00BC289F"/>
    <w:rsid w:val="00BC2D50"/>
    <w:rsid w:val="00BC5361"/>
    <w:rsid w:val="00BC5460"/>
    <w:rsid w:val="00BC6B50"/>
    <w:rsid w:val="00BD07DD"/>
    <w:rsid w:val="00BD0E25"/>
    <w:rsid w:val="00BF410B"/>
    <w:rsid w:val="00BF5BD6"/>
    <w:rsid w:val="00C03E31"/>
    <w:rsid w:val="00C04983"/>
    <w:rsid w:val="00C222B2"/>
    <w:rsid w:val="00C33E72"/>
    <w:rsid w:val="00C354B2"/>
    <w:rsid w:val="00C35554"/>
    <w:rsid w:val="00C4038E"/>
    <w:rsid w:val="00C42709"/>
    <w:rsid w:val="00C533CC"/>
    <w:rsid w:val="00C5751C"/>
    <w:rsid w:val="00C61BFC"/>
    <w:rsid w:val="00C62B85"/>
    <w:rsid w:val="00C63A8A"/>
    <w:rsid w:val="00C65438"/>
    <w:rsid w:val="00C71509"/>
    <w:rsid w:val="00C86173"/>
    <w:rsid w:val="00C87FD8"/>
    <w:rsid w:val="00C91381"/>
    <w:rsid w:val="00C91CBB"/>
    <w:rsid w:val="00CB4E70"/>
    <w:rsid w:val="00CC09B6"/>
    <w:rsid w:val="00CC65C4"/>
    <w:rsid w:val="00CC666F"/>
    <w:rsid w:val="00CD1E3F"/>
    <w:rsid w:val="00CE44F6"/>
    <w:rsid w:val="00CE49DA"/>
    <w:rsid w:val="00CE6B2B"/>
    <w:rsid w:val="00CE7B61"/>
    <w:rsid w:val="00D00095"/>
    <w:rsid w:val="00D104EE"/>
    <w:rsid w:val="00D114F0"/>
    <w:rsid w:val="00D20620"/>
    <w:rsid w:val="00D254F7"/>
    <w:rsid w:val="00D26091"/>
    <w:rsid w:val="00D26340"/>
    <w:rsid w:val="00D2685C"/>
    <w:rsid w:val="00D34E7C"/>
    <w:rsid w:val="00D35489"/>
    <w:rsid w:val="00D36AFE"/>
    <w:rsid w:val="00D3723A"/>
    <w:rsid w:val="00D51276"/>
    <w:rsid w:val="00D7035F"/>
    <w:rsid w:val="00D92FDD"/>
    <w:rsid w:val="00DA634F"/>
    <w:rsid w:val="00DA65AC"/>
    <w:rsid w:val="00DB1913"/>
    <w:rsid w:val="00DC410D"/>
    <w:rsid w:val="00DC5A81"/>
    <w:rsid w:val="00DC68CA"/>
    <w:rsid w:val="00DC7CBA"/>
    <w:rsid w:val="00DD2315"/>
    <w:rsid w:val="00DD73B7"/>
    <w:rsid w:val="00DE4828"/>
    <w:rsid w:val="00DF28BC"/>
    <w:rsid w:val="00DF34B9"/>
    <w:rsid w:val="00DF37A2"/>
    <w:rsid w:val="00DF40C5"/>
    <w:rsid w:val="00E01053"/>
    <w:rsid w:val="00E056F3"/>
    <w:rsid w:val="00E07ACF"/>
    <w:rsid w:val="00E12FD4"/>
    <w:rsid w:val="00E22C4E"/>
    <w:rsid w:val="00E3014C"/>
    <w:rsid w:val="00E331A1"/>
    <w:rsid w:val="00E33202"/>
    <w:rsid w:val="00E336A9"/>
    <w:rsid w:val="00E44065"/>
    <w:rsid w:val="00E472B1"/>
    <w:rsid w:val="00E50624"/>
    <w:rsid w:val="00E568DF"/>
    <w:rsid w:val="00E64269"/>
    <w:rsid w:val="00E754BE"/>
    <w:rsid w:val="00E80165"/>
    <w:rsid w:val="00E82267"/>
    <w:rsid w:val="00E853CE"/>
    <w:rsid w:val="00E867B6"/>
    <w:rsid w:val="00EA010F"/>
    <w:rsid w:val="00EC6BDD"/>
    <w:rsid w:val="00ED1B63"/>
    <w:rsid w:val="00ED2A78"/>
    <w:rsid w:val="00ED3C1F"/>
    <w:rsid w:val="00ED4085"/>
    <w:rsid w:val="00ED420E"/>
    <w:rsid w:val="00ED6FBE"/>
    <w:rsid w:val="00EE2F57"/>
    <w:rsid w:val="00EF3AE7"/>
    <w:rsid w:val="00EF4C34"/>
    <w:rsid w:val="00EF77C6"/>
    <w:rsid w:val="00F05438"/>
    <w:rsid w:val="00F1361C"/>
    <w:rsid w:val="00F156F0"/>
    <w:rsid w:val="00F160C7"/>
    <w:rsid w:val="00F2408F"/>
    <w:rsid w:val="00F240E9"/>
    <w:rsid w:val="00F36D8F"/>
    <w:rsid w:val="00F3756D"/>
    <w:rsid w:val="00F417B1"/>
    <w:rsid w:val="00F45853"/>
    <w:rsid w:val="00F5492F"/>
    <w:rsid w:val="00F602DF"/>
    <w:rsid w:val="00F754A1"/>
    <w:rsid w:val="00F809B6"/>
    <w:rsid w:val="00F81FD9"/>
    <w:rsid w:val="00F841AA"/>
    <w:rsid w:val="00F84A94"/>
    <w:rsid w:val="00F85C21"/>
    <w:rsid w:val="00F87E96"/>
    <w:rsid w:val="00F960A3"/>
    <w:rsid w:val="00FA10E4"/>
    <w:rsid w:val="00FA23E8"/>
    <w:rsid w:val="00FC4E52"/>
    <w:rsid w:val="00FD3CC1"/>
    <w:rsid w:val="00FF1E02"/>
    <w:rsid w:val="00FF30B4"/>
    <w:rsid w:val="053A62B5"/>
    <w:rsid w:val="0A2032A3"/>
    <w:rsid w:val="0B8A37D8"/>
    <w:rsid w:val="10C055FF"/>
    <w:rsid w:val="118107EC"/>
    <w:rsid w:val="11DD6519"/>
    <w:rsid w:val="16BB723D"/>
    <w:rsid w:val="18015F3F"/>
    <w:rsid w:val="1BE8440E"/>
    <w:rsid w:val="1D155CEE"/>
    <w:rsid w:val="20F57F95"/>
    <w:rsid w:val="240371BF"/>
    <w:rsid w:val="25711CC6"/>
    <w:rsid w:val="25C741E6"/>
    <w:rsid w:val="27842671"/>
    <w:rsid w:val="29FD04D3"/>
    <w:rsid w:val="2ABE7A3E"/>
    <w:rsid w:val="2CA234A8"/>
    <w:rsid w:val="2EFA178C"/>
    <w:rsid w:val="30B46D73"/>
    <w:rsid w:val="319F7F4E"/>
    <w:rsid w:val="383D272C"/>
    <w:rsid w:val="39AE70AB"/>
    <w:rsid w:val="3C0C0783"/>
    <w:rsid w:val="3F9F3A96"/>
    <w:rsid w:val="41085755"/>
    <w:rsid w:val="48BF60AB"/>
    <w:rsid w:val="493C27E9"/>
    <w:rsid w:val="496F39ED"/>
    <w:rsid w:val="49FF41D3"/>
    <w:rsid w:val="4BE068DB"/>
    <w:rsid w:val="4BF6002B"/>
    <w:rsid w:val="4ECE2238"/>
    <w:rsid w:val="51DB4B86"/>
    <w:rsid w:val="55333C3E"/>
    <w:rsid w:val="57D76638"/>
    <w:rsid w:val="5B2B312E"/>
    <w:rsid w:val="64CA39A1"/>
    <w:rsid w:val="69630ADE"/>
    <w:rsid w:val="6C4A05C8"/>
    <w:rsid w:val="6D3B1A89"/>
    <w:rsid w:val="71BF4EC2"/>
    <w:rsid w:val="72734D90"/>
    <w:rsid w:val="7412278C"/>
    <w:rsid w:val="7904082E"/>
    <w:rsid w:val="79E7B28D"/>
    <w:rsid w:val="7F9F2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17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8617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8617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8617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uiPriority w:val="99"/>
    <w:qFormat/>
    <w:rsid w:val="00C86173"/>
    <w:pPr>
      <w:spacing w:beforeLines="30"/>
    </w:pPr>
    <w:rPr>
      <w:rFonts w:ascii="仿宋_GB2312" w:eastAsia="仿宋_GB2312"/>
      <w:kern w:val="0"/>
      <w:sz w:val="30"/>
    </w:rPr>
  </w:style>
  <w:style w:type="paragraph" w:styleId="30">
    <w:name w:val="toc 3"/>
    <w:basedOn w:val="a"/>
    <w:next w:val="a"/>
    <w:uiPriority w:val="39"/>
    <w:unhideWhenUsed/>
    <w:qFormat/>
    <w:rsid w:val="00C86173"/>
    <w:pPr>
      <w:tabs>
        <w:tab w:val="right" w:leader="dot" w:pos="8296"/>
      </w:tabs>
      <w:ind w:leftChars="400" w:left="840"/>
    </w:pPr>
  </w:style>
  <w:style w:type="paragraph" w:styleId="a4">
    <w:name w:val="Balloon Text"/>
    <w:basedOn w:val="a"/>
    <w:link w:val="Char0"/>
    <w:uiPriority w:val="99"/>
    <w:semiHidden/>
    <w:unhideWhenUsed/>
    <w:qFormat/>
    <w:rsid w:val="00C86173"/>
    <w:rPr>
      <w:sz w:val="18"/>
      <w:szCs w:val="18"/>
    </w:rPr>
  </w:style>
  <w:style w:type="paragraph" w:styleId="a5">
    <w:name w:val="footer"/>
    <w:basedOn w:val="a"/>
    <w:link w:val="Char1"/>
    <w:uiPriority w:val="99"/>
    <w:qFormat/>
    <w:rsid w:val="00C86173"/>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C86173"/>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C86173"/>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C86173"/>
    <w:pPr>
      <w:tabs>
        <w:tab w:val="right" w:leader="dot" w:pos="8296"/>
      </w:tabs>
      <w:ind w:leftChars="200" w:left="420"/>
    </w:pPr>
  </w:style>
  <w:style w:type="character" w:styleId="a7">
    <w:name w:val="Strong"/>
    <w:basedOn w:val="a0"/>
    <w:uiPriority w:val="99"/>
    <w:qFormat/>
    <w:rsid w:val="00C86173"/>
    <w:rPr>
      <w:b/>
    </w:rPr>
  </w:style>
  <w:style w:type="character" w:styleId="a8">
    <w:name w:val="Hyperlink"/>
    <w:basedOn w:val="a0"/>
    <w:uiPriority w:val="99"/>
    <w:unhideWhenUsed/>
    <w:qFormat/>
    <w:rsid w:val="00C86173"/>
    <w:rPr>
      <w:color w:val="0000FF" w:themeColor="hyperlink"/>
      <w:u w:val="single"/>
    </w:rPr>
  </w:style>
  <w:style w:type="character" w:customStyle="1" w:styleId="1Char">
    <w:name w:val="标题 1 Char"/>
    <w:basedOn w:val="a0"/>
    <w:link w:val="1"/>
    <w:uiPriority w:val="9"/>
    <w:qFormat/>
    <w:rsid w:val="00C86173"/>
    <w:rPr>
      <w:rFonts w:ascii="Times New Roman" w:hAnsi="Times New Roman"/>
      <w:b/>
      <w:bCs/>
      <w:kern w:val="44"/>
      <w:sz w:val="44"/>
      <w:szCs w:val="44"/>
    </w:rPr>
  </w:style>
  <w:style w:type="character" w:customStyle="1" w:styleId="2Char">
    <w:name w:val="标题 2 Char"/>
    <w:basedOn w:val="a0"/>
    <w:link w:val="2"/>
    <w:uiPriority w:val="9"/>
    <w:qFormat/>
    <w:rsid w:val="00C86173"/>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qFormat/>
    <w:rsid w:val="00C86173"/>
    <w:rPr>
      <w:rFonts w:ascii="Times New Roman" w:hAnsi="Times New Roman"/>
      <w:b/>
      <w:bCs/>
      <w:kern w:val="2"/>
      <w:sz w:val="32"/>
      <w:szCs w:val="32"/>
    </w:rPr>
  </w:style>
  <w:style w:type="character" w:customStyle="1" w:styleId="Char">
    <w:name w:val="正文文本 Char"/>
    <w:link w:val="a3"/>
    <w:uiPriority w:val="99"/>
    <w:qFormat/>
    <w:locked/>
    <w:rsid w:val="00C86173"/>
    <w:rPr>
      <w:rFonts w:ascii="仿宋_GB2312" w:eastAsia="仿宋_GB2312" w:hAnsi="Times New Roman"/>
      <w:sz w:val="24"/>
    </w:rPr>
  </w:style>
  <w:style w:type="character" w:customStyle="1" w:styleId="Char0">
    <w:name w:val="批注框文本 Char"/>
    <w:basedOn w:val="a0"/>
    <w:link w:val="a4"/>
    <w:uiPriority w:val="99"/>
    <w:semiHidden/>
    <w:qFormat/>
    <w:rsid w:val="00C86173"/>
    <w:rPr>
      <w:rFonts w:ascii="Times New Roman" w:hAnsi="Times New Roman"/>
      <w:kern w:val="2"/>
      <w:sz w:val="18"/>
      <w:szCs w:val="18"/>
    </w:rPr>
  </w:style>
  <w:style w:type="character" w:customStyle="1" w:styleId="Char1">
    <w:name w:val="页脚 Char"/>
    <w:link w:val="a5"/>
    <w:uiPriority w:val="99"/>
    <w:qFormat/>
    <w:locked/>
    <w:rsid w:val="00C86173"/>
    <w:rPr>
      <w:sz w:val="18"/>
    </w:rPr>
  </w:style>
  <w:style w:type="character" w:customStyle="1" w:styleId="Char2">
    <w:name w:val="页眉 Char"/>
    <w:link w:val="a6"/>
    <w:uiPriority w:val="99"/>
    <w:semiHidden/>
    <w:qFormat/>
    <w:locked/>
    <w:rsid w:val="00C86173"/>
    <w:rPr>
      <w:sz w:val="18"/>
    </w:rPr>
  </w:style>
  <w:style w:type="character" w:customStyle="1" w:styleId="HeaderChar">
    <w:name w:val="Header Char"/>
    <w:basedOn w:val="a0"/>
    <w:uiPriority w:val="99"/>
    <w:semiHidden/>
    <w:qFormat/>
    <w:rsid w:val="00C86173"/>
    <w:rPr>
      <w:rFonts w:ascii="Times New Roman" w:hAnsi="Times New Roman"/>
      <w:sz w:val="18"/>
      <w:szCs w:val="18"/>
    </w:rPr>
  </w:style>
  <w:style w:type="character" w:customStyle="1" w:styleId="FooterChar">
    <w:name w:val="Footer Char"/>
    <w:basedOn w:val="a0"/>
    <w:uiPriority w:val="99"/>
    <w:semiHidden/>
    <w:qFormat/>
    <w:rsid w:val="00C86173"/>
    <w:rPr>
      <w:rFonts w:ascii="Times New Roman" w:hAnsi="Times New Roman"/>
      <w:sz w:val="18"/>
      <w:szCs w:val="18"/>
    </w:rPr>
  </w:style>
  <w:style w:type="character" w:customStyle="1" w:styleId="BodyTextChar">
    <w:name w:val="Body Text Char"/>
    <w:basedOn w:val="a0"/>
    <w:uiPriority w:val="99"/>
    <w:semiHidden/>
    <w:qFormat/>
    <w:rsid w:val="00C86173"/>
    <w:rPr>
      <w:rFonts w:ascii="Times New Roman" w:hAnsi="Times New Roman"/>
      <w:szCs w:val="24"/>
    </w:rPr>
  </w:style>
  <w:style w:type="paragraph" w:customStyle="1" w:styleId="Default">
    <w:name w:val="Default"/>
    <w:uiPriority w:val="99"/>
    <w:qFormat/>
    <w:rsid w:val="00C86173"/>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C86173"/>
    <w:pPr>
      <w:ind w:firstLineChars="200" w:firstLine="420"/>
    </w:pPr>
  </w:style>
  <w:style w:type="paragraph" w:customStyle="1" w:styleId="TOC1">
    <w:name w:val="TOC 标题1"/>
    <w:basedOn w:val="1"/>
    <w:next w:val="a"/>
    <w:uiPriority w:val="39"/>
    <w:unhideWhenUsed/>
    <w:qFormat/>
    <w:rsid w:val="00C8617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unhideWhenUsed/>
    <w:qFormat/>
    <w:rsid w:val="00C8617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3">
    <w:name w:val="TOC 标题3"/>
    <w:basedOn w:val="1"/>
    <w:next w:val="a"/>
    <w:uiPriority w:val="39"/>
    <w:semiHidden/>
    <w:unhideWhenUsed/>
    <w:qFormat/>
    <w:rsid w:val="00C8617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E:\&#36130;&#21153;&#22791;&#20998;\2023&#24180;&#25991;&#20214;\&#39044;&#20915;&#31639;&#20844;&#24320;\22&#24180;&#20915;&#31639;&#20844;&#24320;\&#20915;&#31639;&#20844;&#24320;&#30456;&#20851;&#36164;&#26009;\&#26609;&#24418;&#22270;&#65288;&#27169;&#26495;2&#65289;.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36130;&#21153;&#22791;&#20998;\2023&#24180;&#25991;&#20214;\&#39044;&#20915;&#31639;&#20844;&#24320;\22&#24180;&#20915;&#31639;&#20844;&#24320;\&#20915;&#31639;&#20844;&#24320;&#30456;&#20851;&#36164;&#26009;\&#26609;&#24418;&#22270;&#65288;&#27169;&#26495;2&#65289;.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6130;&#21153;&#22791;&#20998;\2023&#24180;&#25991;&#20214;\&#39044;&#20915;&#31639;&#20844;&#24320;\22&#24180;&#20915;&#31639;&#20844;&#24320;\&#20915;&#31639;&#20844;&#24320;&#30456;&#20851;&#36164;&#26009;\&#26609;&#24418;&#22270;&#65288;&#27169;&#26495;2&#65289;.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6130;&#21153;&#22791;&#20998;\2023&#24180;&#25991;&#20214;\&#39044;&#20915;&#31639;&#20844;&#24320;\22&#24180;&#20915;&#31639;&#20844;&#24320;\&#20915;&#31639;&#20844;&#24320;&#30456;&#20851;&#36164;&#26009;\&#26609;&#24418;&#22270;&#65288;&#27169;&#26495;2&#65289;.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36130;&#21153;&#22791;&#20998;\2023&#24180;&#25991;&#20214;\&#39044;&#20915;&#31639;&#20844;&#24320;\22&#24180;&#20915;&#31639;&#20844;&#24320;\&#20915;&#31639;&#20844;&#24320;&#30456;&#20851;&#36164;&#26009;\&#26609;&#24418;&#22270;&#65288;&#27169;&#26495;2&#65289;.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36130;&#21153;&#22791;&#20998;\2023&#24180;&#25991;&#20214;\&#39044;&#20915;&#31639;&#20844;&#24320;\22&#24180;&#20915;&#31639;&#20844;&#24320;\&#20915;&#31639;&#20844;&#24320;&#30456;&#20851;&#36164;&#26009;\&#26609;&#24418;&#22270;&#65288;&#27169;&#26495;2&#65289;.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zh-CN"/>
  <c:chart>
    <c:title>
      <c:layout>
        <c:manualLayout>
          <c:xMode val="edge"/>
          <c:yMode val="edge"/>
          <c:x val="0.15591409246921212"/>
          <c:y val="3.7037037037037111E-2"/>
        </c:manualLayout>
      </c:layout>
      <c:spPr>
        <a:noFill/>
        <a:ln w="25400">
          <a:noFill/>
        </a:ln>
      </c:spPr>
      <c:txPr>
        <a:bodyPr rot="0" spcFirstLastPara="0" vertOverflow="ellipsis" vert="horz" wrap="square" anchor="ctr" anchorCtr="1"/>
        <a:lstStyle/>
        <a:p>
          <a:pPr>
            <a:defRPr lang="zh-CN" sz="1475" b="1"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title>
    <c:plotArea>
      <c:layout>
        <c:manualLayout>
          <c:layoutTarget val="inner"/>
          <c:xMode val="edge"/>
          <c:yMode val="edge"/>
          <c:x val="8.0645302428635462E-2"/>
          <c:y val="0.24242503953940411"/>
          <c:w val="0.74552101800693404"/>
          <c:h val="0.61953065660070039"/>
        </c:manualLayout>
      </c:layout>
      <c:barChart>
        <c:barDir val="col"/>
        <c:grouping val="clustered"/>
        <c:ser>
          <c:idx val="0"/>
          <c:order val="0"/>
          <c:tx>
            <c:strRef>
              <c:f>'Sheet1 (3)'!$B$1</c:f>
              <c:strCache>
                <c:ptCount val="1"/>
                <c:pt idx="0">
                  <c:v>收、支决算总计变动情况图</c:v>
                </c:pt>
              </c:strCache>
            </c:strRef>
          </c:tx>
          <c:spPr>
            <a:solidFill>
              <a:srgbClr val="0000FF"/>
            </a:solidFill>
            <a:ln w="12700">
              <a:solidFill>
                <a:srgbClr val="000000"/>
              </a:solidFill>
              <a:prstDash val="solid"/>
            </a:ln>
          </c:spPr>
          <c:dPt>
            <c:idx val="0"/>
            <c:spPr>
              <a:solidFill>
                <a:schemeClr val="accent3">
                  <a:lumMod val="40000"/>
                  <a:lumOff val="60000"/>
                </a:schemeClr>
              </a:solidFill>
              <a:ln w="12700">
                <a:solidFill>
                  <a:srgbClr val="000000"/>
                </a:solidFill>
                <a:prstDash val="solid"/>
              </a:ln>
            </c:spPr>
          </c:dPt>
          <c:dPt>
            <c:idx val="1"/>
            <c:spPr>
              <a:solidFill>
                <a:srgbClr val="00FFFF"/>
              </a:solidFill>
              <a:ln w="12700">
                <a:solidFill>
                  <a:srgbClr val="000000"/>
                </a:solidFill>
                <a:prstDash val="solid"/>
              </a:ln>
            </c:spPr>
          </c:dPt>
          <c:dPt>
            <c:idx val="2"/>
            <c:spPr>
              <a:solidFill>
                <a:schemeClr val="accent6">
                  <a:lumMod val="60000"/>
                  <a:lumOff val="40000"/>
                </a:schemeClr>
              </a:solidFill>
              <a:ln w="12700">
                <a:solidFill>
                  <a:srgbClr val="000000"/>
                </a:solidFill>
                <a:prstDash val="solid"/>
              </a:ln>
            </c:spPr>
          </c:dPt>
          <c:dLbls>
            <c:numFmt formatCode="0.00&quot;万元&quot;" sourceLinked="0"/>
            <c:spPr>
              <a:noFill/>
              <a:ln w="25400">
                <a:noFill/>
              </a:ln>
              <a:effectLst/>
            </c:spPr>
            <c:txPr>
              <a:bodyPr rot="0" spcFirstLastPara="0" vertOverflow="ellipsis" vert="horz" wrap="square" lIns="38100" tIns="19050" rIns="38100" bIns="19050" anchor="ctr" anchorCtr="1"/>
              <a:lstStyle/>
              <a:p>
                <a:pPr>
                  <a:defRPr lang="zh-CN" sz="97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dLblPos val="outEnd"/>
            <c:showVal val="1"/>
            <c:extLst>
              <c:ext xmlns:c15="http://schemas.microsoft.com/office/drawing/2012/chart" uri="{CE6537A1-D6FC-4f65-9D91-7224C49458BB}">
                <c15:layout/>
                <c15:showLeaderLines val="0"/>
                <c15:leaderLines/>
              </c:ext>
            </c:extLst>
          </c:dLbls>
          <c:cat>
            <c:strRef>
              <c:f>'Sheet1 (3)'!$A$3:$A$5</c:f>
              <c:strCache>
                <c:ptCount val="3"/>
                <c:pt idx="0">
                  <c:v>2021年度</c:v>
                </c:pt>
                <c:pt idx="1">
                  <c:v>2022年度</c:v>
                </c:pt>
                <c:pt idx="2">
                  <c:v>相比增加</c:v>
                </c:pt>
              </c:strCache>
            </c:strRef>
          </c:cat>
          <c:val>
            <c:numRef>
              <c:f>'Sheet1 (3)'!$C$3:$C$5</c:f>
              <c:numCache>
                <c:formatCode>General</c:formatCode>
                <c:ptCount val="3"/>
                <c:pt idx="0">
                  <c:v>681.94999999999879</c:v>
                </c:pt>
                <c:pt idx="1">
                  <c:v>753.84999999999786</c:v>
                </c:pt>
                <c:pt idx="2">
                  <c:v>71.900000000000006</c:v>
                </c:pt>
              </c:numCache>
            </c:numRef>
          </c:val>
        </c:ser>
        <c:dLbls>
          <c:showVal val="1"/>
        </c:dLbls>
        <c:axId val="72109440"/>
        <c:axId val="72115328"/>
      </c:barChart>
      <c:catAx>
        <c:axId val="72109440"/>
        <c:scaling>
          <c:orientation val="minMax"/>
        </c:scaling>
        <c:axPos val="b"/>
        <c:numFmt formatCode="General" sourceLinked="1"/>
        <c:majorTickMark val="in"/>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72115328"/>
        <c:crosses val="autoZero"/>
        <c:auto val="1"/>
        <c:lblAlgn val="ctr"/>
        <c:lblOffset val="100"/>
        <c:tickLblSkip val="1"/>
      </c:catAx>
      <c:valAx>
        <c:axId val="72115328"/>
        <c:scaling>
          <c:orientation val="minMax"/>
        </c:scaling>
        <c:axPos val="l"/>
        <c:majorGridlines>
          <c:spPr>
            <a:ln w="3175" cap="flat" cmpd="sng" algn="ctr">
              <a:solidFill>
                <a:srgbClr val="000000"/>
              </a:solidFill>
              <a:prstDash val="solid"/>
              <a:round/>
            </a:ln>
          </c:spPr>
        </c:majorGridlines>
        <c:numFmt formatCode="General" sourceLinked="1"/>
        <c:majorTickMark val="in"/>
        <c:tickLblPos val="nextTo"/>
        <c:spPr>
          <a:ln w="3175" cap="flat" cmpd="sng" algn="ctr">
            <a:solidFill>
              <a:srgbClr val="000000"/>
            </a:solidFill>
            <a:prstDash val="solid"/>
            <a:round/>
          </a:ln>
        </c:spPr>
        <c:txPr>
          <a:bodyPr rot="0" spcFirstLastPara="0" vertOverflow="ellipsis" vert="horz" wrap="square" anchor="ctr" anchorCtr="1"/>
          <a:lstStyle/>
          <a:p>
            <a:pPr>
              <a:defRPr lang="zh-CN" sz="97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crossAx val="72109440"/>
        <c:crosses val="autoZero"/>
        <c:crossBetween val="between"/>
      </c:valAx>
      <c:spPr>
        <a:solidFill>
          <a:schemeClr val="accent1">
            <a:lumMod val="20000"/>
            <a:lumOff val="80000"/>
          </a:schemeClr>
        </a:solidFill>
        <a:ln w="12700">
          <a:solidFill>
            <a:srgbClr val="808080"/>
          </a:solidFill>
          <a:prstDash val="solid"/>
        </a:ln>
      </c:spPr>
    </c:plotArea>
    <c:legend>
      <c:legendPos val="r"/>
      <c:legendEntry>
        <c:idx val="0"/>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legendEntry>
      <c:legendEntry>
        <c:idx val="1"/>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legendEntry>
      <c:legendEntry>
        <c:idx val="2"/>
        <c:txPr>
          <a:bodyPr rot="0" spcFirstLastPara="0" vertOverflow="ellipsis" vert="horz" wrap="square" anchor="ctr" anchorCtr="1"/>
          <a:lstStyle/>
          <a:p>
            <a:pPr>
              <a:defRPr lang="zh-CN" sz="90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legendEntry>
      <c:layout>
        <c:manualLayout>
          <c:xMode val="edge"/>
          <c:yMode val="edge"/>
          <c:x val="0.84230802880409217"/>
          <c:y val="0.449736491271924"/>
          <c:w val="0.141025641025641"/>
          <c:h val="0.2546024304765358"/>
        </c:manualLayout>
      </c:layout>
      <c:spPr>
        <a:solidFill>
          <a:srgbClr val="FFFFFF"/>
        </a:solidFill>
        <a:ln w="3175">
          <a:solidFill>
            <a:srgbClr val="000000"/>
          </a:solidFill>
          <a:prstDash val="solid"/>
        </a:ln>
      </c:spPr>
      <c:txPr>
        <a:bodyPr rot="0" spcFirstLastPara="0" vertOverflow="ellipsis" vert="horz" wrap="square" anchor="ctr" anchorCtr="1"/>
        <a:lstStyle/>
        <a:p>
          <a:pPr>
            <a:defRPr lang="zh-CN" sz="98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legend>
    <c:plotVisOnly val="1"/>
    <c:dispBlanksAs val="gap"/>
  </c:chart>
  <c:spPr>
    <a:solidFill>
      <a:srgbClr val="FFFFFF"/>
    </a:solidFill>
    <a:ln w="3175" cap="flat" cmpd="sng" algn="ctr">
      <a:solidFill>
        <a:srgbClr val="000000"/>
      </a:solidFill>
      <a:prstDash val="solid"/>
      <a:round/>
    </a:ln>
    <a:effectLst>
      <a:innerShdw blurRad="63500" dist="50800" dir="13500000">
        <a:prstClr val="black">
          <a:alpha val="50000"/>
        </a:prstClr>
      </a:innerShdw>
    </a:effectLst>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style val="8"/>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'支出 (2)'!$B$1</c:f>
              <c:strCache>
                <c:ptCount val="1"/>
                <c:pt idx="0">
                  <c:v>支出决算结构图</c:v>
                </c:pt>
              </c:strCache>
            </c:strRef>
          </c:tx>
          <c:dLbls>
            <c:dLbl>
              <c:idx val="0"/>
              <c:layout>
                <c:manualLayout>
                  <c:x val="-0.202019856213625"/>
                  <c:y val="-0.17663109087491405"/>
                </c:manualLayout>
              </c:layout>
              <c:tx>
                <c:rich>
                  <a:bodyPr/>
                  <a:lstStyle/>
                  <a:p>
                    <a:r>
                      <a:rPr lang="zh-CN" altLang="en-US"/>
                      <a:t>基本支出 </a:t>
                    </a:r>
                    <a:r>
                      <a:rPr lang="en-US" altLang="zh-CN"/>
                      <a:t>582.51</a:t>
                    </a:r>
                    <a:r>
                      <a:rPr lang="zh-CN" altLang="en-US"/>
                      <a:t>万元
</a:t>
                    </a:r>
                    <a:r>
                      <a:rPr lang="en-US" altLang="zh-CN"/>
                      <a:t>77.27%</a:t>
                    </a:r>
                  </a:p>
                </c:rich>
              </c:tx>
              <c:dLblPos val="bestFit"/>
              <c:showCatName val="1"/>
              <c:showPercent val="1"/>
              <c:extLst>
                <c:ext xmlns:c15="http://schemas.microsoft.com/office/drawing/2012/chart" uri="{CE6537A1-D6FC-4f65-9D91-7224C49458BB}">
                  <c15:layout/>
                </c:ext>
              </c:extLst>
            </c:dLbl>
            <c:dLbl>
              <c:idx val="1"/>
              <c:tx>
                <c:rich>
                  <a:bodyPr/>
                  <a:lstStyle/>
                  <a:p>
                    <a:r>
                      <a:rPr lang="zh-CN" altLang="en-US"/>
                      <a:t>项目支出 </a:t>
                    </a:r>
                    <a:r>
                      <a:rPr lang="en-US" altLang="zh-CN"/>
                      <a:t>171.34</a:t>
                    </a:r>
                    <a:r>
                      <a:rPr lang="zh-CN" altLang="en-US"/>
                      <a:t>万元
</a:t>
                    </a:r>
                    <a:r>
                      <a:rPr lang="en-US" altLang="zh-CN"/>
                      <a:t>22.73%</a:t>
                    </a:r>
                    <a:endParaRPr lang="zh-CN" altLang="en-US"/>
                  </a:p>
                </c:rich>
              </c:tx>
              <c:dLblPos val="bestFit"/>
              <c:showCatName val="1"/>
              <c:showPercent val="1"/>
              <c:extLst>
                <c:ext xmlns:c15="http://schemas.microsoft.com/office/drawing/2012/chart" uri="{CE6537A1-D6FC-4f65-9D91-7224C49458BB}"/>
              </c:extLst>
            </c:dLbl>
            <c:numFmt formatCode="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CatName val="1"/>
            <c:showPercent val="1"/>
            <c:showLeaderLines val="1"/>
            <c:extLst>
              <c:ext xmlns:c15="http://schemas.microsoft.com/office/drawing/2012/chart" uri="{CE6537A1-D6FC-4f65-9D91-7224C49458BB}">
                <c15:layout/>
                <c15:showLeaderLines val="1"/>
                <c15:leaderLines/>
              </c:ext>
            </c:extLst>
          </c:dLbls>
          <c:cat>
            <c:multiLvlStrRef>
              <c:f>'支出 (2)'!$A$3:$B$4</c:f>
              <c:multiLvlStrCache>
                <c:ptCount val="2"/>
                <c:lvl>
                  <c:pt idx="0">
                    <c:v>582.51万元</c:v>
                  </c:pt>
                  <c:pt idx="1">
                    <c:v>171.34万元</c:v>
                  </c:pt>
                </c:lvl>
                <c:lvl>
                  <c:pt idx="0">
                    <c:v>基本支出</c:v>
                  </c:pt>
                  <c:pt idx="1">
                    <c:v>项目支出</c:v>
                  </c:pt>
                </c:lvl>
              </c:multiLvlStrCache>
            </c:multiLvlStrRef>
          </c:cat>
          <c:val>
            <c:numRef>
              <c:f>'支出 (2)'!$C$3:$C$4</c:f>
              <c:numCache>
                <c:formatCode>General</c:formatCode>
                <c:ptCount val="2"/>
                <c:pt idx="0">
                  <c:v>582.51</c:v>
                </c:pt>
                <c:pt idx="1">
                  <c:v>171.34</c:v>
                </c:pt>
              </c:numCache>
            </c:numRef>
          </c:val>
        </c:ser>
        <c:dLbls>
          <c:showCatName val="1"/>
          <c:showPercent val="1"/>
        </c:dLbls>
        <c:firstSliceAng val="0"/>
      </c:pieChart>
    </c:plotArea>
    <c:plotVisOnly val="1"/>
    <c:dispBlanksAs val="zero"/>
  </c:chart>
  <c:txPr>
    <a:bodyPr/>
    <a:lstStyle/>
    <a:p>
      <a:pPr>
        <a:defRPr lang="zh-CN"/>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style val="5"/>
  <c:chart>
    <c:title>
      <c:tx>
        <c:rich>
          <a:bodyPr rot="0" spcFirstLastPara="0" vertOverflow="ellipsis" vert="horz" wrap="square" anchor="ctr" anchorCtr="1"/>
          <a:lstStyle/>
          <a:p>
            <a:pPr algn="ctr">
              <a:defRPr lang="zh-CN" sz="1800" b="1" i="0" u="none" strike="noStrike" kern="1200" baseline="0">
                <a:solidFill>
                  <a:schemeClr val="tx1"/>
                </a:solidFill>
                <a:latin typeface="+mn-lt"/>
                <a:ea typeface="+mn-ea"/>
                <a:cs typeface="+mn-cs"/>
              </a:defRPr>
            </a:pPr>
            <a:r>
              <a:rPr lang="zh-CN" altLang="en-US" sz="1400"/>
              <a:t>财政拨款收、支决算总计变动情况</a:t>
            </a:r>
          </a:p>
        </c:rich>
      </c:tx>
      <c:layout>
        <c:manualLayout>
          <c:xMode val="edge"/>
          <c:yMode val="edge"/>
          <c:x val="0.15605551761021696"/>
          <c:y val="4.6113306982872214E-2"/>
        </c:manualLayout>
      </c:layout>
    </c:title>
    <c:plotArea>
      <c:layout>
        <c:manualLayout>
          <c:layoutTarget val="inner"/>
          <c:xMode val="edge"/>
          <c:yMode val="edge"/>
          <c:x val="3.6006546644844602E-2"/>
          <c:y val="0.38885017421602813"/>
          <c:w val="0.92798690671031081"/>
          <c:h val="0.43103404757332192"/>
        </c:manualLayout>
      </c:layout>
      <c:barChart>
        <c:barDir val="col"/>
        <c:grouping val="clustered"/>
        <c:ser>
          <c:idx val="0"/>
          <c:order val="0"/>
          <c:tx>
            <c:strRef>
              <c:f>'Sheet1 (3)'!$B$1</c:f>
              <c:strCache>
                <c:ptCount val="1"/>
                <c:pt idx="0">
                  <c:v>财政拨款收、支决算总计变动情况</c:v>
                </c:pt>
              </c:strCache>
            </c:strRef>
          </c:tx>
          <c:dPt>
            <c:idx val="0"/>
            <c:spPr>
              <a:solidFill>
                <a:schemeClr val="accent2">
                  <a:lumMod val="60000"/>
                  <a:lumOff val="40000"/>
                </a:schemeClr>
              </a:solidFill>
            </c:spPr>
          </c:dPt>
          <c:dPt>
            <c:idx val="1"/>
            <c:spPr>
              <a:solidFill>
                <a:srgbClr val="00B0F0"/>
              </a:solidFill>
            </c:spPr>
          </c:dPt>
          <c:dPt>
            <c:idx val="2"/>
            <c:spPr>
              <a:solidFill>
                <a:srgbClr val="FF0000"/>
              </a:solidFill>
            </c:spPr>
          </c:dPt>
          <c:dLbls>
            <c:dLbl>
              <c:idx val="0"/>
              <c:layout>
                <c:manualLayout>
                  <c:x val="3.2733224222585809E-3"/>
                  <c:y val="-7.9051383399209502E-2"/>
                </c:manualLayout>
              </c:layout>
              <c:tx>
                <c:rich>
                  <a:bodyPr/>
                  <a:lstStyle/>
                  <a:p>
                    <a:r>
                      <a:rPr lang="en-US" altLang="en-US"/>
                      <a:t>681.95</a:t>
                    </a:r>
                    <a:r>
                      <a:rPr lang="zh-CN" altLang="en-US"/>
                      <a:t>万元</a:t>
                    </a:r>
                    <a:endParaRPr lang="en-US" altLang="en-US"/>
                  </a:p>
                </c:rich>
              </c:tx>
              <c:dLblPos val="outEnd"/>
              <c:showVal val="1"/>
              <c:extLst>
                <c:ext xmlns:c15="http://schemas.microsoft.com/office/drawing/2012/chart" uri="{CE6537A1-D6FC-4f65-9D91-7224C49458BB}">
                  <c15:layout/>
                </c:ext>
              </c:extLst>
            </c:dLbl>
            <c:dLbl>
              <c:idx val="1"/>
              <c:layout>
                <c:manualLayout>
                  <c:x val="3.2733224222585918E-3"/>
                  <c:y val="-6.5876152832674603E-2"/>
                </c:manualLayout>
              </c:layout>
              <c:tx>
                <c:rich>
                  <a:bodyPr/>
                  <a:lstStyle/>
                  <a:p>
                    <a:r>
                      <a:rPr lang="en-US" altLang="en-US"/>
                      <a:t>753.85</a:t>
                    </a:r>
                    <a:r>
                      <a:rPr lang="zh-CN" altLang="en-US"/>
                      <a:t>万元</a:t>
                    </a:r>
                    <a:endParaRPr lang="en-US" altLang="en-US"/>
                  </a:p>
                </c:rich>
              </c:tx>
              <c:dLblPos val="outEnd"/>
              <c:showVal val="1"/>
              <c:extLst>
                <c:ext xmlns:c15="http://schemas.microsoft.com/office/drawing/2012/chart" uri="{CE6537A1-D6FC-4f65-9D91-7224C49458BB}">
                  <c15:layout/>
                </c:ext>
              </c:extLst>
            </c:dLbl>
            <c:dLbl>
              <c:idx val="2"/>
              <c:tx>
                <c:rich>
                  <a:bodyPr/>
                  <a:lstStyle/>
                  <a:p>
                    <a:r>
                      <a:rPr lang="en-US" altLang="en-US"/>
                      <a:t>71.90</a:t>
                    </a:r>
                    <a:r>
                      <a:rPr lang="zh-CN" altLang="en-US"/>
                      <a:t>万元</a:t>
                    </a:r>
                    <a:endParaRPr lang="en-US" altLang="en-US"/>
                  </a:p>
                </c:rich>
              </c:tx>
              <c:dLblPos val="outEnd"/>
              <c:showVal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'Sheet1 (3)'!$A$3:$A$5</c:f>
              <c:strCache>
                <c:ptCount val="3"/>
                <c:pt idx="0">
                  <c:v>2021年度</c:v>
                </c:pt>
                <c:pt idx="1">
                  <c:v>2022年度</c:v>
                </c:pt>
                <c:pt idx="2">
                  <c:v>相比增加</c:v>
                </c:pt>
              </c:strCache>
            </c:strRef>
          </c:cat>
          <c:val>
            <c:numRef>
              <c:f>'Sheet1 (3)'!$C$3:$C$5</c:f>
              <c:numCache>
                <c:formatCode>General</c:formatCode>
                <c:ptCount val="3"/>
                <c:pt idx="0">
                  <c:v>681.94999999999879</c:v>
                </c:pt>
                <c:pt idx="1">
                  <c:v>753.84999999999786</c:v>
                </c:pt>
                <c:pt idx="2">
                  <c:v>71.900000000000006</c:v>
                </c:pt>
              </c:numCache>
            </c:numRef>
          </c:val>
        </c:ser>
        <c:dLbls>
          <c:showVal val="1"/>
        </c:dLbls>
        <c:overlap val="-25"/>
        <c:axId val="121227136"/>
        <c:axId val="128566400"/>
      </c:barChart>
      <c:catAx>
        <c:axId val="121227136"/>
        <c:scaling>
          <c:orientation val="minMax"/>
        </c:scaling>
        <c:axPos val="b"/>
        <c:numFmt formatCode="General" sourceLinked="1"/>
        <c:majorTickMark val="none"/>
        <c:tickLblPos val="nextTo"/>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28566400"/>
        <c:crosses val="autoZero"/>
        <c:auto val="1"/>
        <c:lblAlgn val="ctr"/>
        <c:lblOffset val="100"/>
        <c:tickLblSkip val="1"/>
      </c:catAx>
      <c:valAx>
        <c:axId val="128566400"/>
        <c:scaling>
          <c:orientation val="minMax"/>
        </c:scaling>
        <c:delete val="1"/>
        <c:axPos val="l"/>
        <c:numFmt formatCode="General" sourceLinked="1"/>
        <c:majorTickMark val="none"/>
        <c:tickLblPos val="none"/>
        <c:crossAx val="121227136"/>
        <c:crosses val="autoZero"/>
        <c:crossBetween val="between"/>
      </c:valAx>
    </c:plotArea>
    <c:plotVisOnly val="1"/>
    <c:dispBlanksAs val="gap"/>
  </c:chart>
  <c:txPr>
    <a:bodyPr/>
    <a:lstStyle/>
    <a:p>
      <a:pPr>
        <a:defRPr lang="zh-CN"/>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a:defRPr lang="zh-CN" sz="1475" b="1" i="0" u="none" strike="noStrike" kern="1200" baseline="0">
                <a:solidFill>
                  <a:srgbClr val="000000"/>
                </a:solidFill>
                <a:latin typeface="宋体" panose="02010600030101010101" charset="-122"/>
                <a:ea typeface="宋体" panose="02010600030101010101" charset="-122"/>
                <a:cs typeface="宋体" panose="02010600030101010101" charset="-122"/>
              </a:defRPr>
            </a:pPr>
            <a:r>
              <a:rPr lang="zh-CN" altLang="en-US" sz="1400"/>
              <a:t>一般公共预算财政拨款支出决算变动情况</a:t>
            </a:r>
          </a:p>
        </c:rich>
      </c:tx>
      <c:layout>
        <c:manualLayout>
          <c:xMode val="edge"/>
          <c:yMode val="edge"/>
          <c:x val="0.10424239523251103"/>
          <c:y val="2.5737799724187004E-2"/>
        </c:manualLayout>
      </c:layout>
      <c:spPr>
        <a:noFill/>
        <a:ln w="25400">
          <a:noFill/>
        </a:ln>
      </c:spPr>
    </c:title>
    <c:plotArea>
      <c:layout>
        <c:manualLayout>
          <c:layoutTarget val="inner"/>
          <c:xMode val="edge"/>
          <c:yMode val="edge"/>
          <c:x val="8.064530242863524E-2"/>
          <c:y val="0.24242503953940411"/>
          <c:w val="0.74552101800693404"/>
          <c:h val="0.61953065660070039"/>
        </c:manualLayout>
      </c:layout>
      <c:barChart>
        <c:barDir val="col"/>
        <c:grouping val="clustered"/>
        <c:ser>
          <c:idx val="0"/>
          <c:order val="0"/>
          <c:tx>
            <c:strRef>
              <c:f>支出!$B$1</c:f>
              <c:strCache>
                <c:ptCount val="1"/>
                <c:pt idx="0">
                  <c:v>一般公共预算财政拨款支出决算变动情况</c:v>
                </c:pt>
              </c:strCache>
            </c:strRef>
          </c:tx>
          <c:spPr>
            <a:solidFill>
              <a:srgbClr val="0000FF"/>
            </a:solidFill>
            <a:ln w="12700">
              <a:solidFill>
                <a:srgbClr val="000000"/>
              </a:solidFill>
              <a:prstDash val="solid"/>
            </a:ln>
          </c:spPr>
          <c:dPt>
            <c:idx val="0"/>
            <c:spPr>
              <a:solidFill>
                <a:schemeClr val="accent3"/>
              </a:solidFill>
              <a:ln w="12700">
                <a:solidFill>
                  <a:srgbClr val="000000"/>
                </a:solidFill>
                <a:prstDash val="solid"/>
              </a:ln>
            </c:spPr>
          </c:dPt>
          <c:dPt>
            <c:idx val="1"/>
            <c:spPr>
              <a:solidFill>
                <a:srgbClr val="00FFFF"/>
              </a:solidFill>
              <a:ln w="12700">
                <a:solidFill>
                  <a:srgbClr val="000000"/>
                </a:solidFill>
                <a:prstDash val="solid"/>
              </a:ln>
            </c:spPr>
          </c:dPt>
          <c:dPt>
            <c:idx val="2"/>
            <c:spPr>
              <a:solidFill>
                <a:srgbClr val="FFC000"/>
              </a:solidFill>
              <a:ln w="12700">
                <a:solidFill>
                  <a:srgbClr val="000000"/>
                </a:solidFill>
                <a:prstDash val="solid"/>
              </a:ln>
            </c:spPr>
          </c:dPt>
          <c:dLbls>
            <c:dLbl>
              <c:idx val="0"/>
              <c:layout>
                <c:manualLayout>
                  <c:x val="1.3930943425189322E-17"/>
                  <c:y val="2.8248587570621504E-2"/>
                </c:manualLayout>
              </c:layout>
              <c:dLblPos val="outEnd"/>
              <c:showVal val="1"/>
              <c:extLst>
                <c:ext xmlns:c15="http://schemas.microsoft.com/office/drawing/2012/chart" uri="{CE6537A1-D6FC-4f65-9D91-7224C49458BB}">
                  <c15:layout/>
                </c:ext>
              </c:extLst>
            </c:dLbl>
            <c:dLbl>
              <c:idx val="1"/>
              <c:layout>
                <c:manualLayout>
                  <c:x val="2.1356246062967602E-3"/>
                  <c:y val="-1.3117282622354799E-2"/>
                </c:manualLayout>
              </c:layout>
              <c:dLblPos val="outEnd"/>
              <c:showVal val="1"/>
              <c:extLst>
                <c:ext xmlns:c15="http://schemas.microsoft.com/office/drawing/2012/chart" uri="{CE6537A1-D6FC-4f65-9D91-7224C49458BB}">
                  <c15:layout/>
                </c:ext>
              </c:extLst>
            </c:dLbl>
            <c:dLbl>
              <c:idx val="2"/>
              <c:layout>
                <c:manualLayout>
                  <c:x val="2.1356246062966913E-3"/>
                  <c:y val="-2.6234565244709608E-2"/>
                </c:manualLayout>
              </c:layout>
              <c:dLblPos val="outEnd"/>
              <c:showVal val="1"/>
              <c:extLst>
                <c:ext xmlns:c15="http://schemas.microsoft.com/office/drawing/2012/chart" uri="{CE6537A1-D6FC-4f65-9D91-7224C49458BB}">
                  <c15:layout/>
                </c:ext>
              </c:extLst>
            </c:dLbl>
            <c:numFmt formatCode="0.00&quot;万元&quot;" sourceLinked="0"/>
            <c:spPr>
              <a:noFill/>
              <a:ln w="25400">
                <a:noFill/>
              </a:ln>
              <a:effectLst/>
            </c:spPr>
            <c:txPr>
              <a:bodyPr rot="0" spcFirstLastPara="0" vertOverflow="ellipsis" vert="horz" wrap="square" lIns="38100" tIns="19050" rIns="38100" bIns="19050" anchor="ctr" anchorCtr="1"/>
              <a:lstStyle/>
              <a:p>
                <a:pPr>
                  <a:defRPr lang="zh-CN" sz="97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dLblPos val="outEnd"/>
            <c:showVal val="1"/>
            <c:extLst>
              <c:ext xmlns:c15="http://schemas.microsoft.com/office/drawing/2012/chart" uri="{CE6537A1-D6FC-4f65-9D91-7224C49458BB}">
                <c15:layout/>
                <c15:showLeaderLines val="0"/>
                <c15:leaderLines/>
              </c:ext>
            </c:extLst>
          </c:dLbls>
          <c:cat>
            <c:strRef>
              <c:f>支出!$A$3:$A$5</c:f>
              <c:strCache>
                <c:ptCount val="3"/>
                <c:pt idx="0">
                  <c:v>2021年度</c:v>
                </c:pt>
                <c:pt idx="1">
                  <c:v>2022年度</c:v>
                </c:pt>
                <c:pt idx="2">
                  <c:v>相比增加</c:v>
                </c:pt>
              </c:strCache>
            </c:strRef>
          </c:cat>
          <c:val>
            <c:numRef>
              <c:f>支出!$C$3:$C$5</c:f>
              <c:numCache>
                <c:formatCode>General</c:formatCode>
                <c:ptCount val="3"/>
                <c:pt idx="0">
                  <c:v>612.25</c:v>
                </c:pt>
                <c:pt idx="1">
                  <c:v>753.84999999999786</c:v>
                </c:pt>
                <c:pt idx="2">
                  <c:v>141.6</c:v>
                </c:pt>
              </c:numCache>
            </c:numRef>
          </c:val>
        </c:ser>
        <c:dLbls>
          <c:showVal val="1"/>
        </c:dLbls>
        <c:axId val="129349120"/>
        <c:axId val="129350656"/>
      </c:barChart>
      <c:catAx>
        <c:axId val="129349120"/>
        <c:scaling>
          <c:orientation val="minMax"/>
        </c:scaling>
        <c:axPos val="b"/>
        <c:numFmt formatCode="General" sourceLinked="1"/>
        <c:majorTickMark val="in"/>
        <c:tickLblPos val="nextTo"/>
        <c:spPr>
          <a:ln w="3175" cap="flat" cmpd="sng" algn="ctr">
            <a:solidFill>
              <a:srgbClr val="000000"/>
            </a:solidFill>
            <a:prstDash val="solid"/>
            <a:round/>
          </a:ln>
        </c:spPr>
        <c:txPr>
          <a:bodyPr rot="0" spcFirstLastPara="0" vertOverflow="ellipsis" vert="horz" wrap="square" anchor="ctr" anchorCtr="1"/>
          <a:lstStyle/>
          <a:p>
            <a:pPr>
              <a:defRPr lang="zh-CN" sz="900" b="0"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crossAx val="129350656"/>
        <c:crosses val="autoZero"/>
        <c:auto val="1"/>
        <c:lblAlgn val="ctr"/>
        <c:lblOffset val="100"/>
        <c:tickLblSkip val="1"/>
      </c:catAx>
      <c:valAx>
        <c:axId val="129350656"/>
        <c:scaling>
          <c:orientation val="minMax"/>
        </c:scaling>
        <c:axPos val="l"/>
        <c:majorGridlines>
          <c:spPr>
            <a:ln w="3175" cap="flat" cmpd="sng" algn="ctr">
              <a:solidFill>
                <a:srgbClr val="000000"/>
              </a:solidFill>
              <a:prstDash val="solid"/>
              <a:round/>
            </a:ln>
          </c:spPr>
        </c:majorGridlines>
        <c:numFmt formatCode="General" sourceLinked="1"/>
        <c:majorTickMark val="in"/>
        <c:tickLblPos val="nextTo"/>
        <c:spPr>
          <a:ln w="3175" cap="flat" cmpd="sng" algn="ctr">
            <a:solidFill>
              <a:srgbClr val="000000"/>
            </a:solidFill>
            <a:prstDash val="solid"/>
            <a:round/>
          </a:ln>
        </c:spPr>
        <c:txPr>
          <a:bodyPr rot="0" spcFirstLastPara="0" vertOverflow="ellipsis" vert="horz" wrap="square" anchor="ctr" anchorCtr="1"/>
          <a:lstStyle/>
          <a:p>
            <a:pPr>
              <a:defRPr lang="zh-CN" sz="97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crossAx val="129349120"/>
        <c:crosses val="autoZero"/>
        <c:crossBetween val="between"/>
      </c:valAx>
      <c:spPr>
        <a:solidFill>
          <a:srgbClr val="C0C0C0"/>
        </a:solidFill>
        <a:ln w="12700">
          <a:solidFill>
            <a:srgbClr val="808080"/>
          </a:solidFill>
          <a:prstDash val="solid"/>
        </a:ln>
      </c:spPr>
    </c:plotArea>
    <c:legend>
      <c:legendPos val="r"/>
      <c:layout>
        <c:manualLayout>
          <c:xMode val="edge"/>
          <c:yMode val="edge"/>
          <c:x val="0.84230802880409217"/>
          <c:y val="0.449736491271924"/>
          <c:w val="0.141025641025641"/>
          <c:h val="0.232804927161883"/>
        </c:manualLayout>
      </c:layout>
      <c:spPr>
        <a:solidFill>
          <a:srgbClr val="FFFFFF"/>
        </a:solidFill>
        <a:ln w="3175">
          <a:solidFill>
            <a:srgbClr val="000000"/>
          </a:solidFill>
          <a:prstDash val="solid"/>
        </a:ln>
      </c:spPr>
      <c:txPr>
        <a:bodyPr rot="0" spcFirstLastPara="0" vertOverflow="ellipsis" vert="horz" wrap="square" anchor="ctr" anchorCtr="1"/>
        <a:lstStyle/>
        <a:p>
          <a:pPr>
            <a:defRPr lang="zh-CN" sz="80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legend>
    <c:plotVisOnly val="1"/>
    <c:dispBlanksAs val="gap"/>
  </c:chart>
  <c:spPr>
    <a:solidFill>
      <a:srgbClr val="FFFFFF"/>
    </a:solidFill>
    <a:ln w="3175" cap="flat" cmpd="sng" algn="ctr">
      <a:solidFill>
        <a:srgbClr val="000000"/>
      </a:solidFill>
      <a:prstDash val="solid"/>
      <a:round/>
    </a:ln>
  </c:spPr>
  <c:txPr>
    <a:bodyPr/>
    <a:lstStyle/>
    <a:p>
      <a:pPr>
        <a:defRPr lang="zh-CN" sz="90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style val="5"/>
  <c:chart>
    <c:title>
      <c:tx>
        <c:rich>
          <a:bodyPr rot="0" spcFirstLastPara="0" vertOverflow="ellipsis" vert="horz" wrap="square" anchor="ctr" anchorCtr="1"/>
          <a:lstStyle/>
          <a:p>
            <a:pPr>
              <a:defRPr lang="zh-CN" sz="1600" b="1" i="0" u="none" strike="noStrike" kern="1200" baseline="0">
                <a:solidFill>
                  <a:schemeClr val="tx1"/>
                </a:solidFill>
                <a:latin typeface="+mn-lt"/>
                <a:ea typeface="+mn-ea"/>
                <a:cs typeface="+mn-cs"/>
              </a:defRPr>
            </a:pPr>
            <a:r>
              <a:rPr lang="zh-CN" altLang="en-US" sz="1600"/>
              <a:t>一般公共预算财政拨款</a:t>
            </a:r>
            <a:endParaRPr lang="en-US" altLang="zh-CN" sz="1600"/>
          </a:p>
          <a:p>
            <a:pPr>
              <a:defRPr lang="zh-CN" sz="1600" b="1" i="0" u="none" strike="noStrike" kern="1200" baseline="0">
                <a:solidFill>
                  <a:schemeClr val="tx1"/>
                </a:solidFill>
                <a:latin typeface="+mn-lt"/>
                <a:ea typeface="+mn-ea"/>
                <a:cs typeface="+mn-cs"/>
              </a:defRPr>
            </a:pPr>
            <a:r>
              <a:rPr lang="zh-CN" altLang="en-US" sz="1600"/>
              <a:t>支出决算结构</a:t>
            </a:r>
          </a:p>
        </c:rich>
      </c:tx>
      <c:layout>
        <c:manualLayout>
          <c:xMode val="edge"/>
          <c:yMode val="edge"/>
          <c:x val="0.25639670532890912"/>
          <c:y val="4.1412161858213128E-2"/>
        </c:manualLayout>
      </c:layout>
    </c:title>
    <c:plotArea>
      <c:layout>
        <c:manualLayout>
          <c:layoutTarget val="inner"/>
          <c:xMode val="edge"/>
          <c:yMode val="edge"/>
          <c:x val="0.15665252465770496"/>
          <c:y val="0.27409638554216909"/>
          <c:w val="0.40128797412316208"/>
          <c:h val="0.56325301204819844"/>
        </c:manualLayout>
      </c:layout>
      <c:pieChart>
        <c:varyColors val="1"/>
        <c:ser>
          <c:idx val="0"/>
          <c:order val="0"/>
          <c:tx>
            <c:strRef>
              <c:f>'支出 (3)'!$B$1</c:f>
              <c:strCache>
                <c:ptCount val="1"/>
                <c:pt idx="0">
                  <c:v>一般公共预算财政拨款支出决算结构</c:v>
                </c:pt>
              </c:strCache>
            </c:strRef>
          </c:tx>
          <c:dPt>
            <c:idx val="1"/>
            <c:spPr>
              <a:solidFill>
                <a:srgbClr val="FFC000"/>
              </a:solidFill>
            </c:spPr>
          </c:dPt>
          <c:dPt>
            <c:idx val="2"/>
            <c:spPr>
              <a:solidFill>
                <a:schemeClr val="accent1">
                  <a:lumMod val="60000"/>
                  <a:lumOff val="40000"/>
                </a:schemeClr>
              </a:solidFill>
            </c:spPr>
          </c:dPt>
          <c:dPt>
            <c:idx val="4"/>
            <c:spPr>
              <a:solidFill>
                <a:schemeClr val="accent5">
                  <a:lumMod val="60000"/>
                  <a:lumOff val="40000"/>
                </a:schemeClr>
              </a:solidFill>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multiLvlStrRef>
              <c:f>'支出 (3)'!$A$3:$B$7</c:f>
              <c:multiLvlStrCache>
                <c:ptCount val="5"/>
                <c:lvl>
                  <c:pt idx="0">
                    <c:v>422.02万元</c:v>
                  </c:pt>
                  <c:pt idx="1">
                    <c:v>65.11万元</c:v>
                  </c:pt>
                  <c:pt idx="2">
                    <c:v>18.19万元</c:v>
                  </c:pt>
                  <c:pt idx="3">
                    <c:v>56.03万元</c:v>
                  </c:pt>
                  <c:pt idx="4">
                    <c:v>192.5万元</c:v>
                  </c:pt>
                </c:lvl>
                <c:lvl>
                  <c:pt idx="0">
                    <c:v>教育支出</c:v>
                  </c:pt>
                  <c:pt idx="1">
                    <c:v>社会保障和就业支出</c:v>
                  </c:pt>
                  <c:pt idx="2">
                    <c:v>卫生健康支出</c:v>
                  </c:pt>
                  <c:pt idx="3">
                    <c:v>住房保障支出</c:v>
                  </c:pt>
                  <c:pt idx="4">
                    <c:v>其他支出</c:v>
                  </c:pt>
                </c:lvl>
              </c:multiLvlStrCache>
            </c:multiLvlStrRef>
          </c:cat>
          <c:val>
            <c:numRef>
              <c:f>'支出 (3)'!$C$3:$C$7</c:f>
              <c:numCache>
                <c:formatCode>General</c:formatCode>
                <c:ptCount val="5"/>
                <c:pt idx="0">
                  <c:v>422.02</c:v>
                </c:pt>
                <c:pt idx="1">
                  <c:v>65.11</c:v>
                </c:pt>
                <c:pt idx="2">
                  <c:v>18.190000000000001</c:v>
                </c:pt>
                <c:pt idx="3">
                  <c:v>56.03</c:v>
                </c:pt>
                <c:pt idx="4">
                  <c:v>192.5</c:v>
                </c:pt>
              </c:numCache>
            </c:numRef>
          </c:val>
        </c:ser>
        <c:dLbls>
          <c:showPercent val="1"/>
        </c:dLbls>
        <c:firstSliceAng val="0"/>
      </c:pieChart>
    </c:plotArea>
    <c:legend>
      <c:legendPos val="r"/>
      <c:layout>
        <c:manualLayout>
          <c:xMode val="edge"/>
          <c:yMode val="edge"/>
          <c:x val="0.5158831581459018"/>
          <c:y val="0.48341325521513601"/>
          <c:w val="0.4718366424292661"/>
          <c:h val="0.36638978368966041"/>
        </c:manualLayout>
      </c:layout>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title>
      <c:layout>
        <c:manualLayout>
          <c:xMode val="edge"/>
          <c:yMode val="edge"/>
          <c:x val="0.13681370185869601"/>
          <c:y val="3.9145647984621321E-2"/>
        </c:manualLayout>
      </c:layout>
      <c:spPr>
        <a:noFill/>
        <a:ln w="25400">
          <a:noFill/>
        </a:ln>
      </c:spPr>
      <c:txPr>
        <a:bodyPr rot="0" spcFirstLastPara="0" vertOverflow="ellipsis" vert="horz" wrap="square" anchor="ctr" anchorCtr="1"/>
        <a:lstStyle/>
        <a:p>
          <a:pPr>
            <a:defRPr lang="zh-CN" sz="1375" b="1" i="0" u="none" strike="noStrike" kern="1200" baseline="0">
              <a:solidFill>
                <a:srgbClr val="000000"/>
              </a:solidFill>
              <a:latin typeface="宋体" panose="02010600030101010101" charset="-122"/>
              <a:ea typeface="宋体" panose="02010600030101010101" charset="-122"/>
              <a:cs typeface="宋体" panose="02010600030101010101" charset="-122"/>
            </a:defRPr>
          </a:pPr>
          <a:endParaRPr lang="zh-CN"/>
        </a:p>
      </c:txPr>
    </c:title>
    <c:plotArea>
      <c:layout>
        <c:manualLayout>
          <c:layoutTarget val="inner"/>
          <c:xMode val="edge"/>
          <c:yMode val="edge"/>
          <c:x val="0.15665252465770496"/>
          <c:y val="0.27409638554216909"/>
          <c:w val="0.40128797412316208"/>
          <c:h val="0.56325301204819844"/>
        </c:manualLayout>
      </c:layout>
      <c:pieChart>
        <c:varyColors val="1"/>
        <c:ser>
          <c:idx val="0"/>
          <c:order val="0"/>
          <c:tx>
            <c:strRef>
              <c:f>三公经费!$B$1</c:f>
              <c:strCache>
                <c:ptCount val="1"/>
                <c:pt idx="0">
                  <c:v>“三公”经费财政拨款支出结构</c:v>
                </c:pt>
              </c:strCache>
            </c:strRef>
          </c:tx>
          <c:spPr>
            <a:solidFill>
              <a:srgbClr val="9999FF"/>
            </a:solidFill>
            <a:ln w="12700">
              <a:solidFill>
                <a:srgbClr val="000000"/>
              </a:solidFill>
              <a:prstDash val="solid"/>
            </a:ln>
          </c:spPr>
          <c:dPt>
            <c:idx val="1"/>
            <c:spPr>
              <a:solidFill>
                <a:srgbClr val="92D050"/>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a:effectLst/>
            </c:spPr>
            <c:txPr>
              <a:bodyPr rot="0" spcFirstLastPara="0" vertOverflow="ellipsis" vert="horz" wrap="square" lIns="38100" tIns="19050" rIns="38100" bIns="19050" anchor="ctr" anchorCtr="1"/>
              <a:lstStyle/>
              <a:p>
                <a:pPr>
                  <a:defRPr lang="zh-CN" sz="975"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multiLvlStrRef>
              <c:f>三公经费!$A$3:$B$5</c:f>
              <c:multiLvlStrCache>
                <c:ptCount val="3"/>
                <c:lvl>
                  <c:pt idx="0">
                    <c:v>0万元</c:v>
                  </c:pt>
                  <c:pt idx="1">
                    <c:v>1.78万元</c:v>
                  </c:pt>
                  <c:pt idx="2">
                    <c:v>0万元</c:v>
                  </c:pt>
                </c:lvl>
                <c:lvl>
                  <c:pt idx="0">
                    <c:v>因公出国（境）费</c:v>
                  </c:pt>
                  <c:pt idx="1">
                    <c:v>公务用车购置及运行维护费</c:v>
                  </c:pt>
                  <c:pt idx="2">
                    <c:v>公务接待费</c:v>
                  </c:pt>
                </c:lvl>
              </c:multiLvlStrCache>
            </c:multiLvlStrRef>
          </c:cat>
          <c:val>
            <c:numRef>
              <c:f>三公经费!$C$3:$C$5</c:f>
              <c:numCache>
                <c:formatCode>General</c:formatCode>
                <c:ptCount val="3"/>
                <c:pt idx="0">
                  <c:v>0</c:v>
                </c:pt>
                <c:pt idx="1">
                  <c:v>1.78</c:v>
                </c:pt>
                <c:pt idx="2">
                  <c:v>0</c:v>
                </c:pt>
              </c:numCache>
            </c:numRef>
          </c:val>
        </c:ser>
        <c:dLbls>
          <c:showPercent val="1"/>
        </c:dLbls>
        <c:firstSliceAng val="0"/>
      </c:pieChart>
      <c:spPr>
        <a:noFill/>
        <a:ln w="25400">
          <a:noFill/>
        </a:ln>
      </c:spPr>
    </c:plotArea>
    <c:legend>
      <c:legendPos val="r"/>
      <c:layout>
        <c:manualLayout>
          <c:xMode val="edge"/>
          <c:yMode val="edge"/>
          <c:x val="0.65438619514665675"/>
          <c:y val="0.48341325521513601"/>
          <c:w val="0.32312951952434621"/>
          <c:h val="0.3971703754422013"/>
        </c:manualLayout>
      </c:layout>
      <c:spPr>
        <a:solidFill>
          <a:srgbClr val="FFFFFF"/>
        </a:solidFill>
        <a:ln w="3175">
          <a:solidFill>
            <a:srgbClr val="000000"/>
          </a:solidFill>
          <a:prstDash val="solid"/>
        </a:ln>
      </c:spPr>
      <c:txPr>
        <a:bodyPr rot="0" spcFirstLastPara="0" vertOverflow="ellipsis" vert="horz" wrap="square" anchor="ctr" anchorCtr="1"/>
        <a:lstStyle/>
        <a:p>
          <a:pPr>
            <a:defRPr lang="zh-CN" sz="920" b="0" i="0" u="none" strike="noStrike" kern="1200" baseline="0">
              <a:solidFill>
                <a:srgbClr val="000000"/>
              </a:solidFill>
              <a:latin typeface="Times New Roman" panose="02020603050405020304"/>
              <a:ea typeface="Times New Roman" panose="02020603050405020304"/>
              <a:cs typeface="Times New Roman" panose="02020603050405020304"/>
            </a:defRPr>
          </a:pPr>
          <a:endParaRPr lang="zh-CN"/>
        </a:p>
      </c:txPr>
    </c:legend>
    <c:plotVisOnly val="1"/>
    <c:dispBlanksAs val="zero"/>
  </c:chart>
  <c:spPr>
    <a:solidFill>
      <a:srgbClr val="FFFFFF"/>
    </a:solidFill>
    <a:ln w="3175" cap="flat" cmpd="sng" algn="ctr">
      <a:solidFill>
        <a:srgbClr val="000000"/>
      </a:solidFill>
      <a:prstDash val="solid"/>
      <a:round/>
    </a:ln>
  </c:spPr>
  <c:txPr>
    <a:bodyPr/>
    <a:lstStyle/>
    <a:p>
      <a:pPr>
        <a:defRPr lang="zh-CN" sz="800" b="0" i="0" u="none" strike="noStrike" baseline="0">
          <a:solidFill>
            <a:srgbClr val="000000"/>
          </a:solidFill>
          <a:latin typeface="宋体" panose="02010600030101010101" charset="-122"/>
          <a:ea typeface="宋体" panose="02010600030101010101" charset="-122"/>
          <a:cs typeface="宋体" panose="02010600030101010101" charset="-122"/>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8705D6-C457-4944-B974-EF16EA68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3378</Words>
  <Characters>19261</Characters>
  <Application>Microsoft Office Word</Application>
  <DocSecurity>0</DocSecurity>
  <Lines>160</Lines>
  <Paragraphs>45</Paragraphs>
  <ScaleCrop>false</ScaleCrop>
  <Company>四川省财政厅</Company>
  <LinksUpToDate>false</LinksUpToDate>
  <CharactersWithSpaces>22594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Administrator</cp:lastModifiedBy>
  <cp:revision>133</cp:revision>
  <cp:lastPrinted>2023-07-31T02:35:00Z</cp:lastPrinted>
  <dcterms:created xsi:type="dcterms:W3CDTF">2020-08-05T01:49:00Z</dcterms:created>
  <dcterms:modified xsi:type="dcterms:W3CDTF">2023-10-13T01:17:00Z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6B70361D626A4593B4A9C4A901EC4F63</vt:lpwstr>
  </property>
</Properties>
</file>